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4B16" w14:textId="1005C111" w:rsidR="00D751B5" w:rsidRPr="001554AC" w:rsidRDefault="00D751B5" w:rsidP="00261B78">
      <w:pPr>
        <w:jc w:val="both"/>
      </w:pPr>
      <w:r w:rsidRPr="001554AC">
        <w:rPr>
          <w:b/>
          <w:bCs/>
        </w:rPr>
        <w:t xml:space="preserve">Ogłoszenie o konkursie nr </w:t>
      </w:r>
      <w:r w:rsidR="00261B78" w:rsidRPr="001554AC">
        <w:rPr>
          <w:b/>
          <w:bCs/>
        </w:rPr>
        <w:t>7</w:t>
      </w:r>
      <w:r w:rsidRPr="001554AC">
        <w:rPr>
          <w:b/>
          <w:bCs/>
        </w:rPr>
        <w:t>/202</w:t>
      </w:r>
      <w:r w:rsidR="00261B78" w:rsidRPr="001554AC">
        <w:rPr>
          <w:b/>
          <w:bCs/>
        </w:rPr>
        <w:t>3</w:t>
      </w:r>
      <w:r w:rsidRPr="001554AC">
        <w:rPr>
          <w:b/>
          <w:bCs/>
        </w:rPr>
        <w:t xml:space="preserve"> dla partnerów Krajowej Sieci Obszarów Wiejskich (KSOW) na wybór operacji, które będą realizowane w 2023 r. w ramach dwuletniego planu operacyjnego na lata 2022–2023</w:t>
      </w:r>
    </w:p>
    <w:p w14:paraId="5DD67ADC" w14:textId="77777777" w:rsidR="00D751B5" w:rsidRPr="001554AC" w:rsidRDefault="00D751B5" w:rsidP="001554AC">
      <w:pPr>
        <w:jc w:val="both"/>
      </w:pPr>
      <w:r w:rsidRPr="001554AC">
        <w:t>Na podstawie:</w:t>
      </w:r>
    </w:p>
    <w:p w14:paraId="08342B1C" w14:textId="679000E2" w:rsidR="00D751B5" w:rsidRPr="001554AC" w:rsidRDefault="00D751B5" w:rsidP="001554AC">
      <w:pPr>
        <w:numPr>
          <w:ilvl w:val="0"/>
          <w:numId w:val="1"/>
        </w:numPr>
        <w:jc w:val="both"/>
      </w:pPr>
      <w:r w:rsidRPr="001554AC">
        <w:t>art. 57a pkt 2 ustawy z dnia 20 lutego 2015 r. o wspieraniu rozwoju obszarów wiejskich z udziałem środków Europejskiego Funduszu Rolnego na rzecz Rozwoju Obszarów Wiejskich w ramach Programu Rozwoju Obszarów Wiejskich na lata 2014–2020 (Dz. U. z 202</w:t>
      </w:r>
      <w:r w:rsidR="00261B78" w:rsidRPr="001554AC">
        <w:t>2</w:t>
      </w:r>
      <w:r w:rsidRPr="001554AC">
        <w:t xml:space="preserve"> r. poz. 1</w:t>
      </w:r>
      <w:r w:rsidR="00261B78" w:rsidRPr="001554AC">
        <w:t>2</w:t>
      </w:r>
      <w:r w:rsidRPr="001554AC">
        <w:t>3</w:t>
      </w:r>
      <w:r w:rsidR="00261B78" w:rsidRPr="001554AC">
        <w:t>4</w:t>
      </w:r>
      <w:r w:rsidRPr="001554AC">
        <w:t xml:space="preserve">, z </w:t>
      </w:r>
      <w:proofErr w:type="spellStart"/>
      <w:r w:rsidRPr="001554AC">
        <w:t>późn</w:t>
      </w:r>
      <w:proofErr w:type="spellEnd"/>
      <w:r w:rsidRPr="001554AC">
        <w:t>. zm.)</w:t>
      </w:r>
    </w:p>
    <w:p w14:paraId="546674D6" w14:textId="77777777" w:rsidR="00D751B5" w:rsidRPr="001554AC" w:rsidRDefault="00D751B5" w:rsidP="001554AC">
      <w:pPr>
        <w:jc w:val="both"/>
      </w:pPr>
      <w:r w:rsidRPr="001554AC">
        <w:t>oraz</w:t>
      </w:r>
    </w:p>
    <w:p w14:paraId="799D2143" w14:textId="77777777" w:rsidR="00D751B5" w:rsidRPr="001554AC" w:rsidRDefault="00D751B5" w:rsidP="001554AC">
      <w:pPr>
        <w:numPr>
          <w:ilvl w:val="0"/>
          <w:numId w:val="2"/>
        </w:numPr>
        <w:jc w:val="both"/>
      </w:pPr>
      <w:r w:rsidRPr="001554AC">
        <w:t xml:space="preserve">§ 18 ust. 1-3 rozporządzenia Ministra Rolnictwa i Rozwoju Wsi z dnia 17 stycznia 2017 r. w sprawie krajowej sieci obszarów wiejskich w ramach Programu Rozwoju Obszarów Wiejskich na lata 2014–2020 (Dz. U. poz. 148, z </w:t>
      </w:r>
      <w:proofErr w:type="spellStart"/>
      <w:r w:rsidRPr="001554AC">
        <w:t>późn</w:t>
      </w:r>
      <w:proofErr w:type="spellEnd"/>
      <w:r w:rsidRPr="001554AC">
        <w:t>. zm.)</w:t>
      </w:r>
    </w:p>
    <w:p w14:paraId="1C11FA48" w14:textId="1280A285" w:rsidR="00D751B5" w:rsidRPr="001554AC" w:rsidRDefault="00D751B5" w:rsidP="001554AC">
      <w:pPr>
        <w:jc w:val="both"/>
      </w:pPr>
      <w:r w:rsidRPr="001554AC">
        <w:t xml:space="preserve">Minister Rolnictwa i Rozwoju Wsi – instytucja zarządzająca Programem Rozwoju Obszarów Wiejskich na lata 2014–2020 – ogłasza konkurs nr </w:t>
      </w:r>
      <w:r w:rsidR="002F7B31" w:rsidRPr="001554AC">
        <w:t>7</w:t>
      </w:r>
      <w:r w:rsidRPr="001554AC">
        <w:t>/202</w:t>
      </w:r>
      <w:r w:rsidR="002F7B31" w:rsidRPr="001554AC">
        <w:t>3</w:t>
      </w:r>
      <w:r w:rsidRPr="001554AC">
        <w:t xml:space="preserve"> dla partnerów Krajowej Sieci Obszarów Wiejskich (KSOW) na wybór operacji, które będą realizowane w 2023 r. w ramach dwuletniego planu operacyjnego na lata 2022–2023.</w:t>
      </w:r>
    </w:p>
    <w:p w14:paraId="78BB6835" w14:textId="77777777" w:rsidR="00D751B5" w:rsidRPr="001554AC" w:rsidRDefault="00D751B5" w:rsidP="001554AC">
      <w:pPr>
        <w:jc w:val="both"/>
        <w:rPr>
          <w:b/>
          <w:bCs/>
        </w:rPr>
      </w:pPr>
      <w:r w:rsidRPr="001554AC">
        <w:rPr>
          <w:b/>
          <w:bCs/>
        </w:rPr>
        <w:t>1. Termin, miejsce, forma i sposób składania wniosków o wybór operacji.</w:t>
      </w:r>
    </w:p>
    <w:p w14:paraId="4899A11B" w14:textId="77777777" w:rsidR="00D751B5" w:rsidRPr="001554AC" w:rsidRDefault="00D751B5" w:rsidP="001554AC">
      <w:pPr>
        <w:jc w:val="both"/>
      </w:pPr>
      <w:r w:rsidRPr="001554AC">
        <w:t>1.1. Termin składania wniosków o wybór operacji.</w:t>
      </w:r>
    </w:p>
    <w:p w14:paraId="48C6595B" w14:textId="004D58EE" w:rsidR="00D751B5" w:rsidRPr="001554AC" w:rsidRDefault="00D751B5" w:rsidP="001554AC">
      <w:pPr>
        <w:jc w:val="both"/>
      </w:pPr>
      <w:r w:rsidRPr="001554AC">
        <w:t xml:space="preserve">Wnioski o wybór operacji należy składać w dniach od </w:t>
      </w:r>
      <w:r w:rsidR="00E633DA">
        <w:t>5</w:t>
      </w:r>
      <w:r w:rsidRPr="001554AC">
        <w:t xml:space="preserve"> do </w:t>
      </w:r>
      <w:r w:rsidR="002F7B31" w:rsidRPr="001554AC">
        <w:t xml:space="preserve">22 grudnia </w:t>
      </w:r>
      <w:r w:rsidRPr="001554AC">
        <w:t>2022 r.</w:t>
      </w:r>
    </w:p>
    <w:p w14:paraId="7C5EDC02" w14:textId="77777777" w:rsidR="00D751B5" w:rsidRPr="001554AC" w:rsidRDefault="00D751B5" w:rsidP="001554AC">
      <w:pPr>
        <w:jc w:val="both"/>
      </w:pPr>
      <w:r w:rsidRPr="001554AC">
        <w:t xml:space="preserve">1.2. Miejsce składania wniosków o wybór operacji. </w:t>
      </w:r>
    </w:p>
    <w:p w14:paraId="5DD63056" w14:textId="3F631637" w:rsidR="00D751B5" w:rsidRPr="001554AC" w:rsidRDefault="00D751B5" w:rsidP="001554AC">
      <w:pPr>
        <w:jc w:val="both"/>
      </w:pPr>
      <w:r w:rsidRPr="001554AC">
        <w:t>Wnioski o wybór operacji należy składać do</w:t>
      </w:r>
      <w:r w:rsidR="002F7B31" w:rsidRPr="001554AC">
        <w:t xml:space="preserve"> </w:t>
      </w:r>
      <w:r w:rsidRPr="001554AC">
        <w:t>16 jednostek regionalnych KSOW (</w:t>
      </w:r>
      <w:r w:rsidR="001C092B" w:rsidRPr="001554AC">
        <w:t xml:space="preserve">16 </w:t>
      </w:r>
      <w:r w:rsidRPr="001554AC">
        <w:t>samorządów województw)</w:t>
      </w:r>
      <w:r w:rsidR="002F7B31" w:rsidRPr="001554AC">
        <w:t>. O</w:t>
      </w:r>
      <w:r w:rsidRPr="001554AC">
        <w:t>peracj</w:t>
      </w:r>
      <w:r w:rsidR="002F7B31" w:rsidRPr="001554AC">
        <w:t>e mogą być</w:t>
      </w:r>
      <w:r w:rsidRPr="001554AC">
        <w:t xml:space="preserve"> realizowan</w:t>
      </w:r>
      <w:r w:rsidR="002F7B31" w:rsidRPr="001554AC">
        <w:t>e</w:t>
      </w:r>
      <w:r w:rsidRPr="001554AC">
        <w:t xml:space="preserve"> na poziomie nie więcej niż 3 województw w zakresie wszystkich działań wskazanych w pkt 2.2, na które przewidziano środki w załączniku nr 2 do ogłoszenia „Limit środków na realizację operacji”.</w:t>
      </w:r>
    </w:p>
    <w:p w14:paraId="7D09322C" w14:textId="77777777" w:rsidR="00D751B5" w:rsidRPr="001554AC" w:rsidRDefault="00D751B5" w:rsidP="001554AC">
      <w:pPr>
        <w:jc w:val="both"/>
      </w:pPr>
      <w:r w:rsidRPr="001554AC">
        <w:t>Nazwy i adresy jednostek</w:t>
      </w:r>
      <w:r w:rsidR="002F7B31" w:rsidRPr="001554AC">
        <w:t xml:space="preserve"> regionalnych KSOW</w:t>
      </w:r>
      <w:r w:rsidRPr="001554AC">
        <w:t>, do których należy składać wnioski o wybór operacji, oraz godziny, w których należy składać te wnioski, określa załącznik nr 1 do ogłoszenia.</w:t>
      </w:r>
    </w:p>
    <w:p w14:paraId="64D6C781" w14:textId="77777777" w:rsidR="00D751B5" w:rsidRPr="001554AC" w:rsidRDefault="00D751B5" w:rsidP="001554AC">
      <w:pPr>
        <w:jc w:val="both"/>
      </w:pPr>
      <w:r w:rsidRPr="001554AC">
        <w:t>1.3. Forma składania wniosków o wybór operacji.</w:t>
      </w:r>
    </w:p>
    <w:p w14:paraId="1EB09414" w14:textId="77777777" w:rsidR="00D751B5" w:rsidRPr="001554AC" w:rsidRDefault="00D751B5" w:rsidP="001554AC">
      <w:pPr>
        <w:jc w:val="both"/>
      </w:pPr>
      <w:r w:rsidRPr="001554AC">
        <w:t>Wnioski o wybór operacji należy składać wraz z załącznikami na piśmie utrwalonym w postaci papierowej lub elektronicznej. Wniosek w postaci papierowej opatruje się podpisem własnoręcznym, a w postaci elektronicznej – kwalifikowanym podpisem elektronicznym, podpisem zaufanym albo podpisem osobistym lub kwalifikowaną pieczęcią elektroniczną organu administracyjnego ze wskazaniem w treści wniosku osoby opatrującej wniosek pieczęcią. Do wniosku w postaci papierowej należy załączyć jego wersją elektroniczną zapisaną na informatycznym nośniku danych.</w:t>
      </w:r>
    </w:p>
    <w:p w14:paraId="772D9289" w14:textId="77777777" w:rsidR="00D751B5" w:rsidRPr="001554AC" w:rsidRDefault="00D751B5" w:rsidP="001554AC">
      <w:pPr>
        <w:jc w:val="both"/>
      </w:pPr>
      <w:r w:rsidRPr="001554AC">
        <w:t>1.4. Sposób składania wniosków o wybór operacji.</w:t>
      </w:r>
    </w:p>
    <w:p w14:paraId="2A5B98B8" w14:textId="77777777" w:rsidR="00D751B5" w:rsidRPr="001554AC" w:rsidRDefault="00D751B5" w:rsidP="001554AC">
      <w:pPr>
        <w:jc w:val="both"/>
      </w:pPr>
      <w:r w:rsidRPr="001554AC">
        <w:t>Wnioski o wybór operacji można składać:</w:t>
      </w:r>
    </w:p>
    <w:p w14:paraId="16FE8391" w14:textId="5758009E" w:rsidR="00D751B5" w:rsidRPr="001554AC" w:rsidRDefault="00D751B5" w:rsidP="001554AC">
      <w:pPr>
        <w:numPr>
          <w:ilvl w:val="0"/>
          <w:numId w:val="4"/>
        </w:numPr>
        <w:jc w:val="both"/>
      </w:pPr>
      <w:r w:rsidRPr="001554AC">
        <w:t>osobiście, za pośrednictwem innej osoby, w tym pełnomocnika</w:t>
      </w:r>
      <w:r w:rsidR="00D16410" w:rsidRPr="001554AC">
        <w:t>;</w:t>
      </w:r>
    </w:p>
    <w:p w14:paraId="3D0A1869" w14:textId="6F6321FE" w:rsidR="00D751B5" w:rsidRPr="001554AC" w:rsidRDefault="00D751B5" w:rsidP="001554AC">
      <w:pPr>
        <w:numPr>
          <w:ilvl w:val="0"/>
          <w:numId w:val="4"/>
        </w:numPr>
        <w:jc w:val="both"/>
      </w:pPr>
      <w:r w:rsidRPr="001554AC">
        <w:t>za pomocą przesyłki pocztowej w rozumieniu przepisów ustawy z dnia 23 listopada 2012 r. – Prawo pocztowe (Dz. U. z 202</w:t>
      </w:r>
      <w:r w:rsidR="00D16410" w:rsidRPr="001554AC">
        <w:t>2</w:t>
      </w:r>
      <w:r w:rsidRPr="001554AC">
        <w:t xml:space="preserve"> r. poz. </w:t>
      </w:r>
      <w:r w:rsidR="00D16410" w:rsidRPr="001554AC">
        <w:t>896</w:t>
      </w:r>
      <w:r w:rsidRPr="001554AC">
        <w:t xml:space="preserve">, z </w:t>
      </w:r>
      <w:proofErr w:type="spellStart"/>
      <w:r w:rsidRPr="001554AC">
        <w:t>późn</w:t>
      </w:r>
      <w:proofErr w:type="spellEnd"/>
      <w:r w:rsidRPr="001554AC">
        <w:t>. zm.);</w:t>
      </w:r>
    </w:p>
    <w:p w14:paraId="4757399A" w14:textId="77777777" w:rsidR="00D751B5" w:rsidRPr="001554AC" w:rsidRDefault="00D751B5" w:rsidP="001554AC">
      <w:pPr>
        <w:numPr>
          <w:ilvl w:val="0"/>
          <w:numId w:val="4"/>
        </w:numPr>
        <w:jc w:val="both"/>
      </w:pPr>
      <w:r w:rsidRPr="001554AC">
        <w:t xml:space="preserve">w postaci elektronicznej na adres elektronicznej skrzynki podawczej w </w:t>
      </w:r>
      <w:proofErr w:type="spellStart"/>
      <w:r w:rsidRPr="001554AC">
        <w:t>ePUAP</w:t>
      </w:r>
      <w:proofErr w:type="spellEnd"/>
      <w:r w:rsidRPr="001554AC">
        <w:t xml:space="preserve">. </w:t>
      </w:r>
    </w:p>
    <w:p w14:paraId="7849B164" w14:textId="77777777" w:rsidR="00D751B5" w:rsidRPr="001554AC" w:rsidRDefault="00D751B5" w:rsidP="001554AC">
      <w:pPr>
        <w:jc w:val="both"/>
      </w:pPr>
      <w:r w:rsidRPr="001554AC">
        <w:lastRenderedPageBreak/>
        <w:t>W przypadku złożenia wniosku o wybór operacji przesyłką rejestrowaną albo inną przesyłką pocztową, której datę nadania można ustalić, nadaną na terytorium Rzeczypospolitej Polskiej, za dzień złożenia wniosku uznaje się dzień, w którym nadano tę przesyłkę.</w:t>
      </w:r>
    </w:p>
    <w:p w14:paraId="3E275179" w14:textId="77777777" w:rsidR="00D751B5" w:rsidRPr="001554AC" w:rsidRDefault="00D751B5" w:rsidP="001554AC">
      <w:pPr>
        <w:jc w:val="both"/>
      </w:pPr>
      <w:r w:rsidRPr="001554AC">
        <w:t xml:space="preserve">W przypadku złożenia wniosku o wybór operacji na adres elektronicznej skrzynki podawczej w </w:t>
      </w:r>
      <w:proofErr w:type="spellStart"/>
      <w:r w:rsidRPr="001554AC">
        <w:t>ePUAP</w:t>
      </w:r>
      <w:proofErr w:type="spellEnd"/>
      <w:r w:rsidRPr="001554AC">
        <w:t>, za dzień złożenia wniosku uznaje się dzień jego wysłania.</w:t>
      </w:r>
    </w:p>
    <w:p w14:paraId="056D6A73" w14:textId="77777777" w:rsidR="00D751B5" w:rsidRPr="001554AC" w:rsidRDefault="00D751B5" w:rsidP="001554AC">
      <w:pPr>
        <w:jc w:val="both"/>
        <w:rPr>
          <w:b/>
          <w:bCs/>
        </w:rPr>
      </w:pPr>
      <w:r w:rsidRPr="001554AC">
        <w:rPr>
          <w:b/>
          <w:bCs/>
        </w:rPr>
        <w:t>2. Obszar, zakres oraz tematy operacji objęte konkursem.</w:t>
      </w:r>
    </w:p>
    <w:p w14:paraId="519968EF" w14:textId="77777777" w:rsidR="00D751B5" w:rsidRPr="001554AC" w:rsidRDefault="00D751B5" w:rsidP="001554AC">
      <w:pPr>
        <w:jc w:val="both"/>
      </w:pPr>
      <w:r w:rsidRPr="001554AC">
        <w:t>2.1. Obszar objęty konkursem.</w:t>
      </w:r>
    </w:p>
    <w:p w14:paraId="4523735D" w14:textId="47F8E3F9" w:rsidR="00D751B5" w:rsidRPr="001554AC" w:rsidRDefault="00D751B5" w:rsidP="001554AC">
      <w:pPr>
        <w:jc w:val="both"/>
      </w:pPr>
      <w:r w:rsidRPr="001554AC">
        <w:t>Konkurs jest przeprowadzany na terytorium Rzeczypospolitej Polskiej. Żadna z form realizacji operacji nie może wiązać się z wyjazdem za granicę. Wnioski o wybór operacji</w:t>
      </w:r>
      <w:r w:rsidR="000D258F" w:rsidRPr="001554AC">
        <w:t xml:space="preserve"> mogą</w:t>
      </w:r>
      <w:r w:rsidRPr="001554AC">
        <w:t xml:space="preserve"> obejm</w:t>
      </w:r>
      <w:r w:rsidR="000D258F" w:rsidRPr="001554AC">
        <w:t>ować</w:t>
      </w:r>
      <w:r w:rsidRPr="001554AC">
        <w:t xml:space="preserve"> grupę docelową z obszaru jednego, dwóch lub trzech województw.</w:t>
      </w:r>
    </w:p>
    <w:p w14:paraId="7C0D89CD" w14:textId="77777777" w:rsidR="00D751B5" w:rsidRPr="001554AC" w:rsidRDefault="00D751B5" w:rsidP="001554AC">
      <w:pPr>
        <w:jc w:val="both"/>
      </w:pPr>
      <w:r w:rsidRPr="001554AC">
        <w:t>2.2. Zakres objęty konkursem.</w:t>
      </w:r>
    </w:p>
    <w:p w14:paraId="2E6C8791" w14:textId="77777777" w:rsidR="00D751B5" w:rsidRPr="001554AC" w:rsidRDefault="00D751B5" w:rsidP="001554AC">
      <w:pPr>
        <w:jc w:val="both"/>
      </w:pPr>
      <w:r w:rsidRPr="001554AC">
        <w:t>Konkurs dotyczy operacji, których zakres tematyczny mieści się w zakresie jednego z następujących działań określonych w planie działania KSOW na lata 2014–2020, stanowiącym załącznik nr 28 do ogłoszenia, w ramach których można składać wnioski o wybór operacji:</w:t>
      </w:r>
    </w:p>
    <w:p w14:paraId="14999687" w14:textId="77777777" w:rsidR="00D751B5" w:rsidRPr="001554AC" w:rsidRDefault="00D751B5" w:rsidP="001554AC">
      <w:pPr>
        <w:numPr>
          <w:ilvl w:val="0"/>
          <w:numId w:val="6"/>
        </w:numPr>
        <w:jc w:val="both"/>
      </w:pPr>
      <w:r w:rsidRPr="001554AC">
        <w:t>działanie 3 „Gromadzenie przykładów operacji realizujących poszczególne priorytety Programu”;</w:t>
      </w:r>
    </w:p>
    <w:p w14:paraId="63306C24" w14:textId="77777777" w:rsidR="00D751B5" w:rsidRPr="001554AC" w:rsidRDefault="00D751B5" w:rsidP="001554AC">
      <w:pPr>
        <w:numPr>
          <w:ilvl w:val="0"/>
          <w:numId w:val="6"/>
        </w:numPr>
        <w:jc w:val="both"/>
      </w:pPr>
      <w:r w:rsidRPr="001554AC">
        <w:t xml:space="preserve">działanie 4 „Szkolenia i działania na rzecz tworzenia sieci kontaktów dla Lokalnych Grup Działania (LGD), w tym zapewnianie pomocy technicznej w zakresie współpracy </w:t>
      </w:r>
      <w:proofErr w:type="spellStart"/>
      <w:r w:rsidRPr="001554AC">
        <w:t>międzyterytorialnej</w:t>
      </w:r>
      <w:proofErr w:type="spellEnd"/>
      <w:r w:rsidRPr="001554AC">
        <w:t xml:space="preserve"> i międzynarodowej”;</w:t>
      </w:r>
    </w:p>
    <w:p w14:paraId="53B19CA2" w14:textId="77777777" w:rsidR="00D751B5" w:rsidRPr="001554AC" w:rsidRDefault="00D751B5" w:rsidP="001554AC">
      <w:pPr>
        <w:numPr>
          <w:ilvl w:val="0"/>
          <w:numId w:val="6"/>
        </w:numPr>
        <w:jc w:val="both"/>
      </w:pPr>
      <w:r w:rsidRPr="001554AC">
        <w:t>działanie 6 „Ułatwianie wymiany wiedzy pomiędzy podmiotami uczestniczącymi w rozwoju obszarów wiejskich oraz wymiana i rozpowszechnianie rezultatów działań na rzecz tego rozwoju”;</w:t>
      </w:r>
    </w:p>
    <w:p w14:paraId="5FD2E0D8" w14:textId="77777777" w:rsidR="00D751B5" w:rsidRPr="001554AC" w:rsidRDefault="00D751B5" w:rsidP="001554AC">
      <w:pPr>
        <w:numPr>
          <w:ilvl w:val="0"/>
          <w:numId w:val="6"/>
        </w:numPr>
        <w:jc w:val="both"/>
      </w:pPr>
      <w:r w:rsidRPr="001554AC">
        <w:t>działanie 9 „Wspieranie współpracy w sektorze rolnym i realizacji przez rolników wspólnych inwestycji”;</w:t>
      </w:r>
    </w:p>
    <w:p w14:paraId="3808B12F" w14:textId="77777777" w:rsidR="00D751B5" w:rsidRPr="001554AC" w:rsidRDefault="00D751B5" w:rsidP="001554AC">
      <w:pPr>
        <w:numPr>
          <w:ilvl w:val="0"/>
          <w:numId w:val="6"/>
        </w:numPr>
        <w:jc w:val="both"/>
      </w:pPr>
      <w:r w:rsidRPr="001554AC">
        <w:t>działanie 10 „Organizacja i udział w targach, wystawach tematycznych na rzecz prezentacji osiągnięć i promocji polskiej wsi w kraju i za granicą”;</w:t>
      </w:r>
    </w:p>
    <w:p w14:paraId="4082356F" w14:textId="77777777" w:rsidR="00D751B5" w:rsidRPr="001554AC" w:rsidRDefault="00D751B5" w:rsidP="001554AC">
      <w:pPr>
        <w:numPr>
          <w:ilvl w:val="0"/>
          <w:numId w:val="6"/>
        </w:numPr>
        <w:jc w:val="both"/>
      </w:pPr>
      <w:r w:rsidRPr="001554AC">
        <w:t>działanie 11 „Aktywizacja mieszkańców wsi na rzecz podejmowania inicjatyw służących włączeniu społecznemu, w szczególności osób starszych, młodzieży, niepełnosprawnych, mniejszości narodowych i innych osób wykluczonych społecznie”;</w:t>
      </w:r>
    </w:p>
    <w:p w14:paraId="5E48C99A" w14:textId="77777777" w:rsidR="00D751B5" w:rsidRPr="001554AC" w:rsidRDefault="00D751B5" w:rsidP="001554AC">
      <w:pPr>
        <w:numPr>
          <w:ilvl w:val="0"/>
          <w:numId w:val="6"/>
        </w:numPr>
        <w:jc w:val="both"/>
      </w:pPr>
      <w:r w:rsidRPr="001554AC">
        <w:t>działanie 12 „Identyfikacja, gromadzenie i upowszechnianie dobrych praktyk mających wpływ na rozwój obszarów wiejskich”;</w:t>
      </w:r>
    </w:p>
    <w:p w14:paraId="296AF077" w14:textId="77777777" w:rsidR="00D751B5" w:rsidRPr="001554AC" w:rsidRDefault="00D751B5" w:rsidP="001554AC">
      <w:pPr>
        <w:numPr>
          <w:ilvl w:val="0"/>
          <w:numId w:val="6"/>
        </w:numPr>
        <w:jc w:val="both"/>
      </w:pPr>
      <w:r w:rsidRPr="001554AC">
        <w:t>działanie 13 „Promocja zrównoważonego rozwoju obszarów wiejskich”.</w:t>
      </w:r>
    </w:p>
    <w:p w14:paraId="0697BEB4" w14:textId="77777777" w:rsidR="00D751B5" w:rsidRPr="001554AC" w:rsidRDefault="00D751B5" w:rsidP="001554AC">
      <w:pPr>
        <w:jc w:val="both"/>
      </w:pPr>
      <w:r w:rsidRPr="001554AC">
        <w:t xml:space="preserve">W przypadku wybrania działania 3 i 12 konieczne jest wypełnienie formularza/y projektu realizującego priorytety </w:t>
      </w:r>
      <w:r w:rsidR="00067A7B" w:rsidRPr="001554AC">
        <w:t>Programu Rozwoju Obszarów Wiejskich na lata 2014-2020 (</w:t>
      </w:r>
      <w:r w:rsidRPr="001554AC">
        <w:t>PROW</w:t>
      </w:r>
      <w:r w:rsidR="00067A7B" w:rsidRPr="001554AC">
        <w:t>)</w:t>
      </w:r>
      <w:r w:rsidRPr="001554AC">
        <w:t>, stanowiącego załącznik nr 26 do ogłoszenia, w zależności od liczby zidentyfikowanych projektów.</w:t>
      </w:r>
    </w:p>
    <w:p w14:paraId="067BBF15" w14:textId="77777777" w:rsidR="00A4347F" w:rsidRPr="001554AC" w:rsidRDefault="001C092B" w:rsidP="001554AC">
      <w:pPr>
        <w:spacing w:after="0"/>
        <w:contextualSpacing/>
        <w:jc w:val="both"/>
      </w:pPr>
      <w:r w:rsidRPr="001554AC">
        <w:t>Operacje mogą być</w:t>
      </w:r>
      <w:r w:rsidR="00A4347F" w:rsidRPr="001554AC">
        <w:t xml:space="preserve"> </w:t>
      </w:r>
      <w:r w:rsidRPr="001554AC">
        <w:t>realizowane w następujących</w:t>
      </w:r>
      <w:r w:rsidR="00A4347F" w:rsidRPr="001554AC">
        <w:t xml:space="preserve"> form</w:t>
      </w:r>
      <w:r w:rsidRPr="001554AC">
        <w:t>ach</w:t>
      </w:r>
      <w:r w:rsidR="00A4347F" w:rsidRPr="001554AC">
        <w:t>:</w:t>
      </w:r>
    </w:p>
    <w:p w14:paraId="545E4B3D" w14:textId="77777777" w:rsidR="001C092B" w:rsidRPr="001554AC" w:rsidRDefault="001C092B" w:rsidP="001554AC">
      <w:pPr>
        <w:pStyle w:val="Akapitzlist"/>
        <w:numPr>
          <w:ilvl w:val="0"/>
          <w:numId w:val="17"/>
        </w:numPr>
        <w:spacing w:after="0"/>
        <w:ind w:left="357" w:hanging="357"/>
        <w:contextualSpacing w:val="0"/>
        <w:jc w:val="both"/>
      </w:pPr>
      <w:r w:rsidRPr="001554AC">
        <w:t xml:space="preserve">szkolenie / seminarium/ warsztat/ spotkanie; </w:t>
      </w:r>
    </w:p>
    <w:p w14:paraId="40794F5B" w14:textId="77777777" w:rsidR="001C092B" w:rsidRPr="001554AC" w:rsidRDefault="001C092B" w:rsidP="001554AC">
      <w:pPr>
        <w:pStyle w:val="Akapitzlist"/>
        <w:numPr>
          <w:ilvl w:val="0"/>
          <w:numId w:val="17"/>
        </w:numPr>
        <w:spacing w:after="0"/>
        <w:ind w:left="357" w:hanging="357"/>
        <w:contextualSpacing w:val="0"/>
        <w:jc w:val="both"/>
      </w:pPr>
      <w:r w:rsidRPr="001554AC">
        <w:t>wyjazd studyjny krajowy;</w:t>
      </w:r>
    </w:p>
    <w:p w14:paraId="08E63AFE" w14:textId="77777777" w:rsidR="001C092B" w:rsidRPr="001554AC" w:rsidRDefault="001C092B" w:rsidP="001554AC">
      <w:pPr>
        <w:pStyle w:val="Akapitzlist"/>
        <w:numPr>
          <w:ilvl w:val="0"/>
          <w:numId w:val="17"/>
        </w:numPr>
        <w:spacing w:after="0"/>
        <w:ind w:left="357" w:hanging="357"/>
        <w:contextualSpacing w:val="0"/>
        <w:jc w:val="both"/>
      </w:pPr>
      <w:r w:rsidRPr="001554AC">
        <w:t>konferencja/ kongres;</w:t>
      </w:r>
    </w:p>
    <w:p w14:paraId="0371C917" w14:textId="45767CD2" w:rsidR="001C092B" w:rsidRPr="001554AC" w:rsidRDefault="001C092B" w:rsidP="001554AC">
      <w:pPr>
        <w:pStyle w:val="Akapitzlist"/>
        <w:numPr>
          <w:ilvl w:val="0"/>
          <w:numId w:val="17"/>
        </w:numPr>
        <w:spacing w:after="0"/>
        <w:ind w:left="357" w:hanging="357"/>
        <w:contextualSpacing w:val="0"/>
        <w:jc w:val="both"/>
      </w:pPr>
      <w:r w:rsidRPr="001554AC">
        <w:t>stoisko wystawiennicze/ punkt informacyjny na t</w:t>
      </w:r>
      <w:r w:rsidR="00117C76">
        <w:t>ar</w:t>
      </w:r>
      <w:r w:rsidRPr="001554AC">
        <w:t>gach</w:t>
      </w:r>
      <w:r w:rsidR="00900F46">
        <w:t xml:space="preserve">, </w:t>
      </w:r>
      <w:r w:rsidRPr="001554AC">
        <w:t>imprezie plenerowej</w:t>
      </w:r>
      <w:r w:rsidR="00900F46">
        <w:t xml:space="preserve">, </w:t>
      </w:r>
      <w:bookmarkStart w:id="0" w:name="_GoBack"/>
      <w:bookmarkEnd w:id="0"/>
      <w:r w:rsidRPr="001554AC">
        <w:t>wystawie w kraju;</w:t>
      </w:r>
    </w:p>
    <w:p w14:paraId="3F3C2E47" w14:textId="77777777" w:rsidR="001C092B" w:rsidRPr="001554AC" w:rsidRDefault="001C092B" w:rsidP="001554AC">
      <w:pPr>
        <w:pStyle w:val="Akapitzlist"/>
        <w:numPr>
          <w:ilvl w:val="0"/>
          <w:numId w:val="17"/>
        </w:numPr>
        <w:spacing w:after="0"/>
        <w:ind w:left="357" w:hanging="357"/>
        <w:contextualSpacing w:val="0"/>
        <w:jc w:val="both"/>
      </w:pPr>
      <w:r w:rsidRPr="001554AC">
        <w:t xml:space="preserve">publikacja/materiał drukowany; </w:t>
      </w:r>
    </w:p>
    <w:p w14:paraId="02C8391B" w14:textId="77777777" w:rsidR="001C092B" w:rsidRPr="001554AC" w:rsidRDefault="001C092B" w:rsidP="001554AC">
      <w:pPr>
        <w:pStyle w:val="Akapitzlist"/>
        <w:numPr>
          <w:ilvl w:val="0"/>
          <w:numId w:val="17"/>
        </w:numPr>
        <w:spacing w:after="0"/>
        <w:ind w:left="357" w:hanging="357"/>
        <w:contextualSpacing w:val="0"/>
        <w:jc w:val="both"/>
      </w:pPr>
      <w:r w:rsidRPr="001554AC">
        <w:lastRenderedPageBreak/>
        <w:t xml:space="preserve">prasa; </w:t>
      </w:r>
    </w:p>
    <w:p w14:paraId="56437615" w14:textId="77777777" w:rsidR="001C092B" w:rsidRPr="001554AC" w:rsidRDefault="001C092B" w:rsidP="001554AC">
      <w:pPr>
        <w:pStyle w:val="Akapitzlist"/>
        <w:numPr>
          <w:ilvl w:val="0"/>
          <w:numId w:val="17"/>
        </w:numPr>
        <w:spacing w:after="0"/>
        <w:ind w:left="357" w:hanging="357"/>
        <w:contextualSpacing w:val="0"/>
        <w:jc w:val="both"/>
      </w:pPr>
      <w:r w:rsidRPr="001554AC">
        <w:t xml:space="preserve">audycja/ film/ spot; </w:t>
      </w:r>
    </w:p>
    <w:p w14:paraId="7515E316" w14:textId="77777777" w:rsidR="001C092B" w:rsidRPr="001554AC" w:rsidRDefault="001C092B" w:rsidP="001554AC">
      <w:pPr>
        <w:pStyle w:val="Akapitzlist"/>
        <w:numPr>
          <w:ilvl w:val="0"/>
          <w:numId w:val="17"/>
        </w:numPr>
        <w:spacing w:after="0"/>
        <w:ind w:left="357" w:hanging="357"/>
        <w:contextualSpacing w:val="0"/>
        <w:jc w:val="both"/>
      </w:pPr>
      <w:r w:rsidRPr="001554AC">
        <w:t>analiza/ ekspertyza/ badanie;</w:t>
      </w:r>
    </w:p>
    <w:p w14:paraId="63B5C391" w14:textId="77777777" w:rsidR="001C092B" w:rsidRPr="001554AC" w:rsidRDefault="001C092B" w:rsidP="001554AC">
      <w:pPr>
        <w:pStyle w:val="Akapitzlist"/>
        <w:numPr>
          <w:ilvl w:val="0"/>
          <w:numId w:val="17"/>
        </w:numPr>
        <w:spacing w:after="0"/>
        <w:ind w:left="357" w:hanging="357"/>
        <w:contextualSpacing w:val="0"/>
        <w:jc w:val="both"/>
      </w:pPr>
      <w:r w:rsidRPr="001554AC">
        <w:t>konkurs/olimpiada;</w:t>
      </w:r>
    </w:p>
    <w:p w14:paraId="4F1C8630" w14:textId="77777777" w:rsidR="001C092B" w:rsidRPr="001554AC" w:rsidRDefault="001C092B" w:rsidP="001554AC">
      <w:pPr>
        <w:pStyle w:val="Akapitzlist"/>
        <w:numPr>
          <w:ilvl w:val="0"/>
          <w:numId w:val="17"/>
        </w:numPr>
        <w:spacing w:after="0"/>
        <w:ind w:left="357" w:hanging="357"/>
        <w:contextualSpacing w:val="0"/>
        <w:jc w:val="both"/>
      </w:pPr>
      <w:r w:rsidRPr="001554AC">
        <w:t xml:space="preserve">informacje i publikacje w </w:t>
      </w:r>
      <w:proofErr w:type="spellStart"/>
      <w:r w:rsidRPr="001554AC">
        <w:t>internecie</w:t>
      </w:r>
      <w:proofErr w:type="spellEnd"/>
      <w:r w:rsidRPr="001554AC">
        <w:t>;</w:t>
      </w:r>
    </w:p>
    <w:p w14:paraId="1454CA97" w14:textId="77777777" w:rsidR="00A4347F" w:rsidRPr="001554AC" w:rsidRDefault="001C092B" w:rsidP="001554AC">
      <w:pPr>
        <w:pStyle w:val="Akapitzlist"/>
        <w:numPr>
          <w:ilvl w:val="0"/>
          <w:numId w:val="17"/>
        </w:numPr>
        <w:contextualSpacing w:val="0"/>
        <w:jc w:val="both"/>
      </w:pPr>
      <w:r w:rsidRPr="001554AC">
        <w:t>inne.</w:t>
      </w:r>
    </w:p>
    <w:p w14:paraId="13ECAC98" w14:textId="77777777" w:rsidR="00701F85" w:rsidRPr="001554AC" w:rsidRDefault="00A4347F" w:rsidP="001554AC">
      <w:pPr>
        <w:spacing w:after="0"/>
        <w:contextualSpacing/>
        <w:jc w:val="both"/>
      </w:pPr>
      <w:r w:rsidRPr="001554AC">
        <w:t>Operacje nie mogą być realizowane w</w:t>
      </w:r>
      <w:r w:rsidR="00701F85" w:rsidRPr="001554AC">
        <w:t xml:space="preserve"> następujących formach</w:t>
      </w:r>
      <w:r w:rsidR="002574CF" w:rsidRPr="001554AC">
        <w:t xml:space="preserve"> (jako inne w pkt. 11)</w:t>
      </w:r>
      <w:r w:rsidR="00701F85" w:rsidRPr="001554AC">
        <w:t>:</w:t>
      </w:r>
    </w:p>
    <w:p w14:paraId="79A5FD5C" w14:textId="77777777" w:rsidR="00701F85" w:rsidRPr="001554AC" w:rsidRDefault="00701F85" w:rsidP="001554AC">
      <w:pPr>
        <w:pStyle w:val="Akapitzlist"/>
        <w:numPr>
          <w:ilvl w:val="0"/>
          <w:numId w:val="18"/>
        </w:numPr>
        <w:jc w:val="both"/>
      </w:pPr>
      <w:r w:rsidRPr="001554AC">
        <w:t>strona, aplikacja lub inne narzędzie internetowe, które ma dopiero powstać lub które istnieje i ma zostać zmodernizowane;</w:t>
      </w:r>
    </w:p>
    <w:p w14:paraId="6FF5B0D3" w14:textId="77777777" w:rsidR="00701F85" w:rsidRPr="001554AC" w:rsidRDefault="00701F85" w:rsidP="001554AC">
      <w:pPr>
        <w:pStyle w:val="Akapitzlist"/>
        <w:numPr>
          <w:ilvl w:val="0"/>
          <w:numId w:val="18"/>
        </w:numPr>
        <w:jc w:val="both"/>
      </w:pPr>
      <w:r w:rsidRPr="001554AC">
        <w:t>targi, impreza plenerowa oraz wystawa;</w:t>
      </w:r>
    </w:p>
    <w:p w14:paraId="3F8D78FA" w14:textId="77777777" w:rsidR="00701F85" w:rsidRPr="001554AC" w:rsidRDefault="00701F85" w:rsidP="001554AC">
      <w:pPr>
        <w:pStyle w:val="Akapitzlist"/>
        <w:numPr>
          <w:ilvl w:val="0"/>
          <w:numId w:val="18"/>
        </w:numPr>
        <w:jc w:val="both"/>
      </w:pPr>
      <w:r w:rsidRPr="001554AC">
        <w:t>wyjazd studyjny zagraniczny, jak również żadna inna forma, która wiązałaby się z wyjazdem za granicę;</w:t>
      </w:r>
    </w:p>
    <w:p w14:paraId="3166DF12" w14:textId="77777777" w:rsidR="00A4347F" w:rsidRPr="001554AC" w:rsidRDefault="00701F85" w:rsidP="001554AC">
      <w:pPr>
        <w:pStyle w:val="Akapitzlist"/>
        <w:numPr>
          <w:ilvl w:val="0"/>
          <w:numId w:val="18"/>
        </w:numPr>
        <w:jc w:val="both"/>
      </w:pPr>
      <w:r w:rsidRPr="001554AC">
        <w:t>kurs lub szkolenie zawodowe.</w:t>
      </w:r>
    </w:p>
    <w:p w14:paraId="52887D9F" w14:textId="77777777" w:rsidR="00D751B5" w:rsidRPr="001554AC" w:rsidRDefault="00D751B5" w:rsidP="001554AC">
      <w:pPr>
        <w:jc w:val="both"/>
      </w:pPr>
      <w:r w:rsidRPr="001554AC">
        <w:t>2.3. Tematy operacji objęte konkursem.</w:t>
      </w:r>
    </w:p>
    <w:p w14:paraId="59480C8F" w14:textId="77777777" w:rsidR="00D751B5" w:rsidRPr="001554AC" w:rsidRDefault="00D751B5" w:rsidP="001554AC">
      <w:pPr>
        <w:jc w:val="both"/>
      </w:pPr>
      <w:r w:rsidRPr="001554AC">
        <w:t>Operacje mogą dotyczyć wyłącznie następujących tematów:</w:t>
      </w:r>
    </w:p>
    <w:p w14:paraId="3C16B4F3" w14:textId="324E9F80" w:rsidR="00D751B5" w:rsidRPr="001554AC" w:rsidRDefault="00D751B5" w:rsidP="001554AC">
      <w:pPr>
        <w:numPr>
          <w:ilvl w:val="0"/>
          <w:numId w:val="7"/>
        </w:numPr>
        <w:jc w:val="both"/>
      </w:pPr>
      <w:r w:rsidRPr="001554AC">
        <w:t xml:space="preserve">Klimat, środowisko i </w:t>
      </w:r>
      <w:proofErr w:type="spellStart"/>
      <w:r w:rsidRPr="001554AC">
        <w:t>biogospodarka</w:t>
      </w:r>
      <w:proofErr w:type="spellEnd"/>
      <w:r w:rsidRPr="001554AC">
        <w:t xml:space="preserve"> – wymiana </w:t>
      </w:r>
      <w:r w:rsidR="00067A7B" w:rsidRPr="001554AC">
        <w:t xml:space="preserve">lub </w:t>
      </w:r>
      <w:r w:rsidRPr="001554AC">
        <w:t>upowszechnianie wiedzy i doświadczeń dotyczących:</w:t>
      </w:r>
    </w:p>
    <w:p w14:paraId="4E289070" w14:textId="77777777" w:rsidR="00D751B5" w:rsidRPr="001554AC" w:rsidRDefault="00D751B5" w:rsidP="001554AC">
      <w:pPr>
        <w:numPr>
          <w:ilvl w:val="0"/>
          <w:numId w:val="8"/>
        </w:numPr>
        <w:jc w:val="both"/>
      </w:pPr>
      <w:r w:rsidRPr="001554AC">
        <w:t xml:space="preserve">rozwoju zielonej gospodarki, w tym wykorzystania odnawialnych źródeł energii w rolnictwie oraz funkcjonowania spółdzielni energetycznych, </w:t>
      </w:r>
    </w:p>
    <w:p w14:paraId="053A0171" w14:textId="77777777" w:rsidR="00D751B5" w:rsidRPr="001554AC" w:rsidRDefault="00D751B5" w:rsidP="001554AC">
      <w:pPr>
        <w:numPr>
          <w:ilvl w:val="0"/>
          <w:numId w:val="8"/>
        </w:numPr>
        <w:jc w:val="both"/>
      </w:pPr>
      <w:r w:rsidRPr="001554AC">
        <w:t>ochrony środowiska naturalnego, metod ograniczania stosowania środków chemicznych w rolnictwie, przeciwdziałania zmianom klimatycznym i adaptacji do tych zmian,</w:t>
      </w:r>
    </w:p>
    <w:p w14:paraId="1D55FCFB" w14:textId="77777777" w:rsidR="00D751B5" w:rsidRPr="001554AC" w:rsidRDefault="00D751B5" w:rsidP="001554AC">
      <w:pPr>
        <w:numPr>
          <w:ilvl w:val="0"/>
          <w:numId w:val="8"/>
        </w:numPr>
        <w:jc w:val="both"/>
      </w:pPr>
      <w:r w:rsidRPr="001554AC">
        <w:t xml:space="preserve">wzmacniania świadomości ekologicznej, bioróżnorodności, </w:t>
      </w:r>
      <w:proofErr w:type="spellStart"/>
      <w:r w:rsidRPr="001554AC">
        <w:t>biogospodarki</w:t>
      </w:r>
      <w:proofErr w:type="spellEnd"/>
      <w:r w:rsidRPr="001554AC">
        <w:t xml:space="preserve"> i rolnictwa ekologicznego oraz kreowania postaw proekologicznych w społecznościach wiejskich,</w:t>
      </w:r>
    </w:p>
    <w:p w14:paraId="06D6F41E" w14:textId="0D49B563" w:rsidR="00D751B5" w:rsidRPr="001554AC" w:rsidRDefault="00D751B5" w:rsidP="001554AC">
      <w:pPr>
        <w:numPr>
          <w:ilvl w:val="0"/>
          <w:numId w:val="8"/>
        </w:numPr>
        <w:jc w:val="both"/>
      </w:pPr>
      <w:r w:rsidRPr="001554AC">
        <w:t>gospodarki w obiegu zamkniętym jako sposobu na ograniczenie wytwarzania odpadów w rolnictwie i możliwość ich ponownego wykorzystania jako surowców wtórnych</w:t>
      </w:r>
      <w:r w:rsidR="00F35268" w:rsidRPr="001554AC">
        <w:t>;</w:t>
      </w:r>
    </w:p>
    <w:p w14:paraId="7F5FC895" w14:textId="5FC0602B" w:rsidR="00D751B5" w:rsidRPr="001554AC" w:rsidRDefault="00D751B5" w:rsidP="001554AC">
      <w:pPr>
        <w:numPr>
          <w:ilvl w:val="0"/>
          <w:numId w:val="9"/>
        </w:numPr>
        <w:jc w:val="both"/>
      </w:pPr>
      <w:r w:rsidRPr="001554AC">
        <w:t xml:space="preserve">Przedsiębiorczość na obszarach wiejskich oraz poprawa sytuacji rolnika w łańcuchu dostaw – wymiana </w:t>
      </w:r>
      <w:r w:rsidR="00067A7B" w:rsidRPr="001554AC">
        <w:t>lub</w:t>
      </w:r>
      <w:r w:rsidRPr="001554AC">
        <w:t xml:space="preserve"> upowszechnianie wiedzy i doświadczeń dotyczących:</w:t>
      </w:r>
    </w:p>
    <w:p w14:paraId="189F0A58" w14:textId="77777777" w:rsidR="00D751B5" w:rsidRPr="001554AC" w:rsidRDefault="00D751B5" w:rsidP="001554AC">
      <w:pPr>
        <w:numPr>
          <w:ilvl w:val="0"/>
          <w:numId w:val="10"/>
        </w:numPr>
        <w:jc w:val="both"/>
      </w:pPr>
      <w:r w:rsidRPr="001554AC">
        <w:t>korzyści ze współpracy rolników w formie spółdzielni, zrzeszeń, spółek handlowych, w tym także o statusie grupy producentów rolnych lub organizacji producentów,</w:t>
      </w:r>
    </w:p>
    <w:p w14:paraId="285CA285" w14:textId="77777777" w:rsidR="00D751B5" w:rsidRPr="001554AC" w:rsidRDefault="00D751B5" w:rsidP="001554AC">
      <w:pPr>
        <w:numPr>
          <w:ilvl w:val="0"/>
          <w:numId w:val="10"/>
        </w:numPr>
        <w:jc w:val="both"/>
      </w:pPr>
      <w:r w:rsidRPr="001554AC">
        <w:t>krótkich łańcuchów dostaw żywności, budowania relacji producenta żywności z konsumentem oraz nowych modeli organizacji produkcji i sprzedaży, w tym RHD i MOL,</w:t>
      </w:r>
    </w:p>
    <w:p w14:paraId="04D385E9" w14:textId="77777777" w:rsidR="00D751B5" w:rsidRPr="001554AC" w:rsidRDefault="00D751B5" w:rsidP="001554AC">
      <w:pPr>
        <w:numPr>
          <w:ilvl w:val="0"/>
          <w:numId w:val="10"/>
        </w:numPr>
        <w:jc w:val="both"/>
      </w:pPr>
      <w:r w:rsidRPr="001554AC">
        <w:t>dobrych praktyk dotyczących przedsiębiorczości na obszarach wiejskich (z uwzględnieniem zrealizowanych projektów współfinansowanych z PROW), w tym ekonomii społecznej oraz gospodarstw opiekuńczych,</w:t>
      </w:r>
    </w:p>
    <w:p w14:paraId="41C4FAF6" w14:textId="77777777" w:rsidR="00D751B5" w:rsidRPr="001554AC" w:rsidRDefault="00D751B5" w:rsidP="001554AC">
      <w:pPr>
        <w:numPr>
          <w:ilvl w:val="0"/>
          <w:numId w:val="10"/>
        </w:numPr>
        <w:jc w:val="both"/>
      </w:pPr>
      <w:r w:rsidRPr="001554AC">
        <w:t>rozwoju i promocji sektora usług czasu wolnego, w tym rozwoju pozarolniczych funkcji gospodarstw rolnych m.in. w ramach gospodarstw agroturystycznych</w:t>
      </w:r>
      <w:r w:rsidR="00067A7B" w:rsidRPr="001554AC">
        <w:t>, gospodarstw demonstracyjnych</w:t>
      </w:r>
      <w:r w:rsidRPr="001554AC">
        <w:t xml:space="preserve"> i zagród edukacyjnych,</w:t>
      </w:r>
    </w:p>
    <w:p w14:paraId="3CDC7580" w14:textId="72363D37" w:rsidR="00D751B5" w:rsidRPr="001554AC" w:rsidRDefault="00D751B5" w:rsidP="001554AC">
      <w:pPr>
        <w:numPr>
          <w:ilvl w:val="0"/>
          <w:numId w:val="10"/>
        </w:numPr>
        <w:jc w:val="both"/>
      </w:pPr>
      <w:r w:rsidRPr="001554AC">
        <w:t>praktycznego zdobywania wiedzy przez uczniów i studentów szkół rolniczych oraz możliwości rozwoju i prowadzenia działalności po ukończeniu tych szkół – dobre praktyki (w tym na przykładzie projektów współfinansowanych z PROW)</w:t>
      </w:r>
      <w:r w:rsidR="00F35268" w:rsidRPr="001554AC">
        <w:t>;</w:t>
      </w:r>
    </w:p>
    <w:p w14:paraId="709489F0" w14:textId="52ACD2AF" w:rsidR="00D751B5" w:rsidRPr="001554AC" w:rsidRDefault="00D751B5" w:rsidP="001554AC">
      <w:pPr>
        <w:numPr>
          <w:ilvl w:val="0"/>
          <w:numId w:val="11"/>
        </w:numPr>
        <w:jc w:val="both"/>
      </w:pPr>
      <w:r w:rsidRPr="001554AC">
        <w:lastRenderedPageBreak/>
        <w:t xml:space="preserve">Tradycja i dziedzictwo kulturowe wsi – wymiana </w:t>
      </w:r>
      <w:r w:rsidR="00067A7B" w:rsidRPr="001554AC">
        <w:t>lub</w:t>
      </w:r>
      <w:r w:rsidRPr="001554AC">
        <w:t xml:space="preserve"> upowszechnianie wiedzy i doświadczeń dotyczących ginących zawodów, lokalnego rękodzieła i produktów lokalnych</w:t>
      </w:r>
      <w:r w:rsidR="00F35268" w:rsidRPr="001554AC">
        <w:t>;</w:t>
      </w:r>
    </w:p>
    <w:p w14:paraId="0D7C9F3F" w14:textId="4B1B64D5" w:rsidR="00D751B5" w:rsidRPr="001554AC" w:rsidRDefault="00D751B5" w:rsidP="001554AC">
      <w:pPr>
        <w:numPr>
          <w:ilvl w:val="0"/>
          <w:numId w:val="11"/>
        </w:numPr>
        <w:jc w:val="both"/>
      </w:pPr>
      <w:r w:rsidRPr="001554AC">
        <w:t xml:space="preserve">Rozwój lokalny – wymiana </w:t>
      </w:r>
      <w:r w:rsidR="00F35268" w:rsidRPr="001554AC">
        <w:t>lub</w:t>
      </w:r>
      <w:r w:rsidRPr="001554AC">
        <w:t xml:space="preserve"> upowszechnianie wiedzy i doświadczeń dotyczących:</w:t>
      </w:r>
    </w:p>
    <w:p w14:paraId="00F5EC76" w14:textId="77777777" w:rsidR="00D751B5" w:rsidRPr="001554AC" w:rsidRDefault="00D751B5" w:rsidP="001554AC">
      <w:pPr>
        <w:numPr>
          <w:ilvl w:val="0"/>
          <w:numId w:val="12"/>
        </w:numPr>
        <w:jc w:val="both"/>
      </w:pPr>
      <w:r w:rsidRPr="001554AC">
        <w:t>poprawy dostępu do infrastruktury publicznej w celu wzmocnienia przewag danego obszaru, wyrównywania szans rozwojowych wszystkich mieszkańców oraz dywersyfikacji zatrudnienia na obszarach wiejskich,</w:t>
      </w:r>
    </w:p>
    <w:p w14:paraId="757D23A9" w14:textId="77777777" w:rsidR="00D751B5" w:rsidRPr="001554AC" w:rsidRDefault="00D751B5" w:rsidP="001554AC">
      <w:pPr>
        <w:numPr>
          <w:ilvl w:val="0"/>
          <w:numId w:val="12"/>
        </w:numPr>
        <w:jc w:val="both"/>
      </w:pPr>
      <w:r w:rsidRPr="001554AC">
        <w:t>wykorzystania powiązań z małymi miejscowościami i dużymi miastami przez tworzenie sieci powiązań między wsią a miastem,</w:t>
      </w:r>
    </w:p>
    <w:p w14:paraId="5CCDFE75" w14:textId="77777777" w:rsidR="00D751B5" w:rsidRPr="001554AC" w:rsidRDefault="00D751B5" w:rsidP="001554AC">
      <w:pPr>
        <w:numPr>
          <w:ilvl w:val="0"/>
          <w:numId w:val="12"/>
        </w:numPr>
        <w:jc w:val="both"/>
      </w:pPr>
      <w:r w:rsidRPr="001554AC">
        <w:t>rozwoju współpracy na obszarach wiejskich w wymiarze produkcyjnym, usługowym i społecznym przez dążenie do wdrożenia formuły „wsi wielofunkcyjnej”, która rozwija się nie tylko w sektorze rolniczym, ale także przez rozwój innych gałęzi lokalnej gospodarki z zachowaniem zasad proekologicznych oraz sprzyja zauważalnemu podwyższeniu jakości życia mieszkańców,</w:t>
      </w:r>
    </w:p>
    <w:p w14:paraId="65A7C1D1" w14:textId="77777777" w:rsidR="00D751B5" w:rsidRPr="001554AC" w:rsidRDefault="00D751B5" w:rsidP="001554AC">
      <w:pPr>
        <w:numPr>
          <w:ilvl w:val="0"/>
          <w:numId w:val="12"/>
        </w:numPr>
        <w:jc w:val="both"/>
      </w:pPr>
      <w:r w:rsidRPr="001554AC">
        <w:t>identyfikacji potencjału lokalnych społeczności w kierunku tworzenia strategii promocji produktu lokalnego,</w:t>
      </w:r>
    </w:p>
    <w:p w14:paraId="6FC35DAB" w14:textId="77777777" w:rsidR="00D751B5" w:rsidRPr="001554AC" w:rsidRDefault="00D751B5" w:rsidP="001554AC">
      <w:pPr>
        <w:numPr>
          <w:ilvl w:val="0"/>
          <w:numId w:val="12"/>
        </w:numPr>
        <w:jc w:val="both"/>
      </w:pPr>
      <w:r w:rsidRPr="001554AC">
        <w:t>działalności kół gospodyń wiejskich jako szansy na wykorzystanie potencjału kobiet dla rozwoju lokalnej społeczności,</w:t>
      </w:r>
    </w:p>
    <w:p w14:paraId="34ED54CB" w14:textId="77777777" w:rsidR="00D751B5" w:rsidRPr="001554AC" w:rsidRDefault="00D751B5" w:rsidP="001554AC">
      <w:pPr>
        <w:numPr>
          <w:ilvl w:val="0"/>
          <w:numId w:val="12"/>
        </w:numPr>
        <w:jc w:val="both"/>
      </w:pPr>
      <w:r w:rsidRPr="001554AC">
        <w:t xml:space="preserve">inteligentnych wiosek - wspierania oddolnych inicjatyw i narzędzi wykorzystujących nowoczesne metody i technologie, które służą poprawie jakości i poziomu życia mieszkańców obszarów wiejskich, w tym poprawie konkurencyjności terenów wiejskich, promujących ideę smart </w:t>
      </w:r>
      <w:proofErr w:type="spellStart"/>
      <w:r w:rsidRPr="001554AC">
        <w:t>village</w:t>
      </w:r>
      <w:proofErr w:type="spellEnd"/>
      <w:r w:rsidRPr="001554AC">
        <w:t>,</w:t>
      </w:r>
    </w:p>
    <w:p w14:paraId="0FDACA56" w14:textId="77777777" w:rsidR="00D751B5" w:rsidRPr="001554AC" w:rsidRDefault="00D751B5" w:rsidP="001554AC">
      <w:pPr>
        <w:numPr>
          <w:ilvl w:val="0"/>
          <w:numId w:val="12"/>
        </w:numPr>
        <w:jc w:val="both"/>
      </w:pPr>
      <w:r w:rsidRPr="001554AC">
        <w:t>planowania rozwoju lokalnego z uwzględnieniem potencjału ekonomicznego, społecznego i środowiskowego danego obszaru,</w:t>
      </w:r>
    </w:p>
    <w:p w14:paraId="57910FDF" w14:textId="74F81060" w:rsidR="00D751B5" w:rsidRPr="001554AC" w:rsidRDefault="00D751B5" w:rsidP="001554AC">
      <w:pPr>
        <w:numPr>
          <w:ilvl w:val="0"/>
          <w:numId w:val="12"/>
        </w:numPr>
        <w:jc w:val="both"/>
      </w:pPr>
      <w:r w:rsidRPr="001554AC">
        <w:t>planowania i wdrażania rozwoju lokalnego wśród pracowników lub członków LGD</w:t>
      </w:r>
      <w:r w:rsidR="00F35268" w:rsidRPr="001554AC">
        <w:t>;</w:t>
      </w:r>
    </w:p>
    <w:p w14:paraId="731AB48D" w14:textId="6B991A46" w:rsidR="00D751B5" w:rsidRPr="001554AC" w:rsidRDefault="00D751B5" w:rsidP="001554AC">
      <w:pPr>
        <w:numPr>
          <w:ilvl w:val="0"/>
          <w:numId w:val="13"/>
        </w:numPr>
        <w:jc w:val="both"/>
      </w:pPr>
      <w:r w:rsidRPr="001554AC">
        <w:t xml:space="preserve">Nowoczesne i innowacyjne rozwiązania oraz dobre praktyki w rolnictwie i na obszarach wiejskich – wymiana </w:t>
      </w:r>
      <w:r w:rsidR="00F35268" w:rsidRPr="001554AC">
        <w:t>lub</w:t>
      </w:r>
      <w:r w:rsidRPr="001554AC">
        <w:t xml:space="preserve"> upowszechnianie wiedzy i doświadczeń dotyczących:</w:t>
      </w:r>
    </w:p>
    <w:p w14:paraId="628D7D8E" w14:textId="77777777" w:rsidR="00D751B5" w:rsidRPr="001554AC" w:rsidRDefault="00D751B5" w:rsidP="001554AC">
      <w:pPr>
        <w:numPr>
          <w:ilvl w:val="0"/>
          <w:numId w:val="14"/>
        </w:numPr>
        <w:jc w:val="both"/>
      </w:pPr>
      <w:r w:rsidRPr="001554AC">
        <w:t>rozwiązań technicznych i technologicznych w produkcji rolniczej, w tym z wykorzystaniem technologii informacyjnych i komunikacyjnych,</w:t>
      </w:r>
    </w:p>
    <w:p w14:paraId="6916A5FF" w14:textId="6B91E2BE" w:rsidR="00D751B5" w:rsidRPr="001554AC" w:rsidRDefault="00D751B5" w:rsidP="001554AC">
      <w:pPr>
        <w:numPr>
          <w:ilvl w:val="0"/>
          <w:numId w:val="14"/>
        </w:numPr>
        <w:jc w:val="both"/>
      </w:pPr>
      <w:r w:rsidRPr="001554AC">
        <w:t>zarządzania, organizacji i planowania w gospodarstwie rolnym</w:t>
      </w:r>
      <w:r w:rsidR="00F35268" w:rsidRPr="001554AC">
        <w:t>;</w:t>
      </w:r>
    </w:p>
    <w:p w14:paraId="24EB19AE" w14:textId="65E607D2" w:rsidR="00D751B5" w:rsidRPr="001554AC" w:rsidRDefault="00D751B5" w:rsidP="001554AC">
      <w:pPr>
        <w:numPr>
          <w:ilvl w:val="0"/>
          <w:numId w:val="15"/>
        </w:numPr>
        <w:jc w:val="both"/>
      </w:pPr>
      <w:r w:rsidRPr="001554AC">
        <w:t xml:space="preserve">Wymiana </w:t>
      </w:r>
      <w:r w:rsidR="00F35268" w:rsidRPr="001554AC">
        <w:t>lub</w:t>
      </w:r>
      <w:r w:rsidRPr="001554AC">
        <w:t xml:space="preserve"> upowszechnianie wiedzy i doświadczeń dotyczących ograniczania strat i marnotrawstwa w łańcuchu dostaw żywności</w:t>
      </w:r>
      <w:r w:rsidR="00F35268" w:rsidRPr="001554AC">
        <w:t>;</w:t>
      </w:r>
    </w:p>
    <w:p w14:paraId="6A44ED38" w14:textId="44C6E0A6" w:rsidR="00D751B5" w:rsidRPr="001554AC" w:rsidRDefault="00D751B5" w:rsidP="001554AC">
      <w:pPr>
        <w:numPr>
          <w:ilvl w:val="0"/>
          <w:numId w:val="15"/>
        </w:numPr>
        <w:jc w:val="both"/>
      </w:pPr>
      <w:r w:rsidRPr="001554AC">
        <w:t xml:space="preserve">Wymiana </w:t>
      </w:r>
      <w:r w:rsidR="00F35268" w:rsidRPr="001554AC">
        <w:t>lub</w:t>
      </w:r>
      <w:r w:rsidRPr="001554AC">
        <w:t xml:space="preserve"> upowszechnianie wiedzy i doświadczeń dotyczących zarządzania wodami opadowymi, w tym małej retencji i oszczędnego gospodarowania wodą w rolnictwie i na obszarach wiejskich.</w:t>
      </w:r>
    </w:p>
    <w:p w14:paraId="714D6258" w14:textId="77777777" w:rsidR="00D751B5" w:rsidRPr="001554AC" w:rsidRDefault="00D751B5" w:rsidP="001554AC">
      <w:pPr>
        <w:jc w:val="both"/>
        <w:rPr>
          <w:b/>
          <w:bCs/>
        </w:rPr>
      </w:pPr>
      <w:r w:rsidRPr="001554AC">
        <w:rPr>
          <w:b/>
          <w:bCs/>
        </w:rPr>
        <w:t>3. Termin realizacji operacji wybranych w ramach konkursu.</w:t>
      </w:r>
    </w:p>
    <w:p w14:paraId="40C2C47A" w14:textId="74070EC6" w:rsidR="00D751B5" w:rsidRPr="001554AC" w:rsidRDefault="00D751B5" w:rsidP="001554AC">
      <w:pPr>
        <w:jc w:val="both"/>
      </w:pPr>
      <w:r w:rsidRPr="001554AC">
        <w:t>W zakresie rzeczowym realizacja operacji wybranych w ramach konkursu może rozpocząć się najwcześniej w dniu następującym po dniu złożenia wniosku</w:t>
      </w:r>
      <w:r w:rsidR="001E4F5C" w:rsidRPr="001554AC">
        <w:t xml:space="preserve"> o wybór operacji</w:t>
      </w:r>
      <w:r w:rsidRPr="001554AC">
        <w:t xml:space="preserve"> i kończy się nie później niż w dniu 31 października 202</w:t>
      </w:r>
      <w:r w:rsidR="001E4F5C" w:rsidRPr="001554AC">
        <w:t>3</w:t>
      </w:r>
      <w:r w:rsidRPr="001554AC">
        <w:t xml:space="preserve"> r.. </w:t>
      </w:r>
      <w:r w:rsidR="001E4F5C" w:rsidRPr="001554AC">
        <w:t>K</w:t>
      </w:r>
      <w:r w:rsidRPr="001554AC">
        <w:t xml:space="preserve">oszty kwalifikowalne można ponosić najpóźniej do dnia złożenia poprawnie wypełnionego i kompletnego wniosku o refundację. Koszty dotyczące wkładu własnego </w:t>
      </w:r>
      <w:r w:rsidRPr="001554AC">
        <w:lastRenderedPageBreak/>
        <w:t>mogą być poniesione przed dniem złożenia wniosku</w:t>
      </w:r>
      <w:r w:rsidR="001E4F5C" w:rsidRPr="001554AC">
        <w:t xml:space="preserve"> o wybór operacji</w:t>
      </w:r>
      <w:r w:rsidRPr="001554AC">
        <w:t xml:space="preserve"> do dnia złożenia poprawnie wypełnionego i kompletnego wniosku o refundację.</w:t>
      </w:r>
    </w:p>
    <w:p w14:paraId="0AF85590" w14:textId="77777777" w:rsidR="00D751B5" w:rsidRPr="001554AC" w:rsidRDefault="00D751B5" w:rsidP="001554AC">
      <w:pPr>
        <w:jc w:val="both"/>
        <w:rPr>
          <w:b/>
          <w:bCs/>
        </w:rPr>
      </w:pPr>
      <w:r w:rsidRPr="001554AC">
        <w:rPr>
          <w:b/>
          <w:bCs/>
        </w:rPr>
        <w:t>4. Limit środków przewidzianych na realizację operacji w ramach konkursu.</w:t>
      </w:r>
    </w:p>
    <w:p w14:paraId="73F73599" w14:textId="0C0F3150" w:rsidR="00D751B5" w:rsidRPr="001554AC" w:rsidRDefault="00D751B5" w:rsidP="001554AC">
      <w:pPr>
        <w:jc w:val="both"/>
      </w:pPr>
      <w:r w:rsidRPr="001554AC">
        <w:t>Limit środków przewidzianych w ramach konkursu na realizację operacji został podzielony pomiędzy jednostki</w:t>
      </w:r>
      <w:r w:rsidR="001E4F5C" w:rsidRPr="001554AC">
        <w:t xml:space="preserve"> regionalne KSOW</w:t>
      </w:r>
      <w:r w:rsidRPr="001554AC">
        <w:t>, do których należy składać wnioski o wybór operacji, wskazane w pkt. 1.2</w:t>
      </w:r>
      <w:r w:rsidR="001E4F5C" w:rsidRPr="001554AC">
        <w:t xml:space="preserve"> i załączniku nr 1</w:t>
      </w:r>
      <w:r w:rsidR="003F2385" w:rsidRPr="001554AC">
        <w:t xml:space="preserve"> do ogłoszenia</w:t>
      </w:r>
      <w:r w:rsidRPr="001554AC">
        <w:t>, oraz na działania planu działania KSOW, w zakresie których należy składać te wnioski, wskazane w pkt. 2.2. Podział limitu określa załącznik nr 2 do ogłoszenia o konkursie.</w:t>
      </w:r>
    </w:p>
    <w:p w14:paraId="6DD028F0" w14:textId="77777777" w:rsidR="00D751B5" w:rsidRPr="001554AC" w:rsidRDefault="00D751B5" w:rsidP="001554AC">
      <w:pPr>
        <w:jc w:val="both"/>
      </w:pPr>
      <w:r w:rsidRPr="001554AC">
        <w:t>W przypadku gdy limit środków określony dla danej jednostki</w:t>
      </w:r>
      <w:r w:rsidR="003F2385" w:rsidRPr="001554AC">
        <w:t xml:space="preserve"> regionalnej KSOW</w:t>
      </w:r>
      <w:r w:rsidRPr="001554AC">
        <w:t xml:space="preserve"> na działanie nie zostanie wykorzystany w całości, środki niewykorzystane mogą zostać przeznaczone na operacje zgłoszone do tej jednostki w ramach innych działań na zasadach określonych w Regulaminie konkursu. </w:t>
      </w:r>
    </w:p>
    <w:p w14:paraId="65BF70DA" w14:textId="77777777" w:rsidR="00D751B5" w:rsidRPr="001554AC" w:rsidRDefault="00D751B5" w:rsidP="001554AC">
      <w:pPr>
        <w:jc w:val="both"/>
      </w:pPr>
      <w:r w:rsidRPr="001554AC">
        <w:t>Operacje, które zdobędą wymaganą liczbę punktów, lecz nie zostaną wybrane do realizacji wyłącznie z powodu braku wystarczających środków jakie pozostaną do podziału po przydzieleniu części środków operacjom wyżej punktowanym:</w:t>
      </w:r>
    </w:p>
    <w:p w14:paraId="7C594A29" w14:textId="77777777" w:rsidR="00D751B5" w:rsidRPr="001554AC" w:rsidRDefault="00D751B5" w:rsidP="001554AC">
      <w:pPr>
        <w:jc w:val="both"/>
      </w:pPr>
      <w:r w:rsidRPr="001554AC">
        <w:t>1) są wybierane do realizacji, jeżeli w wyniku nie zawarcia lub rozwiązania umowy na realizację innej operacji do dyspozycji będą środki wystarczające na pokrycie 100% kosztów kwalifikowalnych;</w:t>
      </w:r>
    </w:p>
    <w:p w14:paraId="087F077A" w14:textId="77777777" w:rsidR="00D751B5" w:rsidRPr="001554AC" w:rsidRDefault="00D751B5" w:rsidP="001554AC">
      <w:pPr>
        <w:jc w:val="both"/>
      </w:pPr>
      <w:r w:rsidRPr="001554AC">
        <w:t>2) mogą zostać wybrane do realizacji, jeżeli partner KSOW zgodzi się zrealizować operację za mniejsze środki, jakie pozostały po wyborze innych operacji lub zostały zwolnione w wyniku nie zawarcia lub rozwiązania umowy na realizację innej operacji.</w:t>
      </w:r>
    </w:p>
    <w:p w14:paraId="0C4E7B1C" w14:textId="3DE37778" w:rsidR="00D751B5" w:rsidRPr="001554AC" w:rsidRDefault="00D751B5" w:rsidP="001554AC">
      <w:pPr>
        <w:jc w:val="both"/>
      </w:pPr>
      <w:r w:rsidRPr="001554AC">
        <w:t>Po spełnieniu jednego z tych warunków</w:t>
      </w:r>
      <w:r w:rsidR="003F2385" w:rsidRPr="001554AC">
        <w:t>,</w:t>
      </w:r>
      <w:r w:rsidRPr="001554AC">
        <w:t xml:space="preserve"> umowy na realizację tych operacji są zawierane według</w:t>
      </w:r>
      <w:r w:rsidR="003F2385" w:rsidRPr="001554AC">
        <w:t xml:space="preserve"> ich</w:t>
      </w:r>
      <w:r w:rsidRPr="001554AC">
        <w:t xml:space="preserve"> kolejności operacji na liście ocenionych operacji.</w:t>
      </w:r>
    </w:p>
    <w:p w14:paraId="39D5A5F5" w14:textId="77777777" w:rsidR="00D751B5" w:rsidRPr="001554AC" w:rsidRDefault="00D751B5" w:rsidP="001554AC">
      <w:pPr>
        <w:jc w:val="both"/>
        <w:rPr>
          <w:b/>
          <w:bCs/>
        </w:rPr>
      </w:pPr>
      <w:r w:rsidRPr="001554AC">
        <w:rPr>
          <w:b/>
          <w:bCs/>
        </w:rPr>
        <w:t>Załączniki</w:t>
      </w:r>
    </w:p>
    <w:p w14:paraId="544C781A" w14:textId="5A6B134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Nazwy i adresy jednostek, do których należy składać wnioski o wybór operacji.</w:t>
      </w:r>
    </w:p>
    <w:p w14:paraId="14A85DF5" w14:textId="2B4B1EDF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Limit środków na realizację operacji.</w:t>
      </w:r>
    </w:p>
    <w:p w14:paraId="1A2931AF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Informacja o przetwarzaniu danych osobowych.</w:t>
      </w:r>
    </w:p>
    <w:p w14:paraId="3963CA76" w14:textId="2E995A58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 xml:space="preserve">Regulamin konkursu nr </w:t>
      </w:r>
      <w:r w:rsidR="003F2385" w:rsidRPr="001554AC">
        <w:t>7</w:t>
      </w:r>
      <w:r w:rsidRPr="001554AC">
        <w:t>/202</w:t>
      </w:r>
      <w:r w:rsidR="003F2385" w:rsidRPr="001554AC">
        <w:t>3</w:t>
      </w:r>
      <w:r w:rsidRPr="001554AC">
        <w:t>.</w:t>
      </w:r>
    </w:p>
    <w:p w14:paraId="445ADA12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Załącznik do Regulaminu konkursu „Przewodnik po ocenie wniosku”.</w:t>
      </w:r>
    </w:p>
    <w:p w14:paraId="6C6CD022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Formularz wniosku o wybór operacji.</w:t>
      </w:r>
    </w:p>
    <w:p w14:paraId="2579A243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Załącznik nr 1 do wniosku o wybór operacji „Zestawienie rzeczowo-finansowe”.</w:t>
      </w:r>
    </w:p>
    <w:p w14:paraId="4652AC32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Załącznik nr 2 do wniosku o wybór operacji „Wkład własny”.</w:t>
      </w:r>
    </w:p>
    <w:p w14:paraId="6CA4DB6B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Załącznik nr 3 do wniosku o wybór operacji „Formy realizacji operacji”.</w:t>
      </w:r>
    </w:p>
    <w:p w14:paraId="0B828F3C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Załącznik nr 4 do wniosku o wybór operacji „Oświadczenie o kwalifikowalności podatku VAT”.</w:t>
      </w:r>
    </w:p>
    <w:p w14:paraId="2ABDB1E9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Deklaracja dodatkowego partnera KSOW uczestniczącego w realizacji operacji o zobowiązaniu się do wykorzystania wkładu własnego w realizacji operacji.</w:t>
      </w:r>
    </w:p>
    <w:p w14:paraId="4A5F0B90" w14:textId="406438D3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 xml:space="preserve">Oświadczenie partnera KSOW, że nie złożył innego wniosku o wybór tej samej operacji w ramach konkursu nr </w:t>
      </w:r>
      <w:r w:rsidR="003F2385" w:rsidRPr="001554AC">
        <w:t>7</w:t>
      </w:r>
      <w:r w:rsidRPr="001554AC">
        <w:t>/202</w:t>
      </w:r>
      <w:r w:rsidR="003F2385" w:rsidRPr="001554AC">
        <w:t>3</w:t>
      </w:r>
      <w:r w:rsidRPr="001554AC">
        <w:t>.</w:t>
      </w:r>
    </w:p>
    <w:p w14:paraId="3B4B7DF0" w14:textId="69EB2EC0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lastRenderedPageBreak/>
        <w:t xml:space="preserve">Oświadczenie dodatkowego partnera KSOW, że nie złożył innego wniosku o wybór tej samej operacji w ramach konkursu nr </w:t>
      </w:r>
      <w:r w:rsidR="003F2385" w:rsidRPr="001554AC">
        <w:t>7</w:t>
      </w:r>
      <w:r w:rsidRPr="001554AC">
        <w:t>/202</w:t>
      </w:r>
      <w:r w:rsidR="003F2385" w:rsidRPr="001554AC">
        <w:t>3</w:t>
      </w:r>
      <w:r w:rsidRPr="001554AC">
        <w:t>.</w:t>
      </w:r>
    </w:p>
    <w:p w14:paraId="5A2B25DF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Oświadczenie partnera KSOW, że w terminie realizacji operacji wskazanym w części I pkt 6 wniosku co najmniej połowę jej grupy docelowej będą stanowić osoby do 35 roku życia mieszkające na obszarach wiejskich.</w:t>
      </w:r>
    </w:p>
    <w:p w14:paraId="4458B301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Oświadczenie partnera KSOW o braku powiązań osobowych z dodatkowym partnerem KSOW.</w:t>
      </w:r>
    </w:p>
    <w:p w14:paraId="19D802C9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Oświadczenie partnera KSOW, że nie dokona odpisów amortyzacyjnych oraz nie zaliczy do kosztów uzyskania przychodów kosztów kwalifikowalnych operacji.</w:t>
      </w:r>
    </w:p>
    <w:p w14:paraId="0EEF8F32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Oświadczenie partnera KSOW, który nie jest jednostką sektora finansów publicznych, że koszty ujęte w zestawieniu rzeczowo-finansowym nie są finansowane z udziałem innych środków publicznych.</w:t>
      </w:r>
    </w:p>
    <w:p w14:paraId="17553128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Oświadczenie partnera KSOW, który jest jednostką sektora finansów publicznych, że koszty ujęte w zestawieniu rzeczowo-finansowym nie są finansowane z udziałem środków publicznych stanowiących środki pochodzące z budżetu Unii Europejskiej, ze środków z pomocy udzielanej przez państwa członkowskie Europejskiego Porozumienia o Wolnym Handlu (EFTA) niepodlegających zwrotowi lub środków stanowiących środki pochodzące z innych źródeł zagranicznych niepodlegające zwrotowi.</w:t>
      </w:r>
    </w:p>
    <w:p w14:paraId="3A4B83A7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Instrukcja wypełnienia wniosku o wybór operacji.</w:t>
      </w:r>
    </w:p>
    <w:p w14:paraId="7E067960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Formularz umowy na realizację operacji.</w:t>
      </w:r>
    </w:p>
    <w:p w14:paraId="596B64AA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Załącznik nr 1 do umowy „Zestawienie rzeczowo-finansowe”.</w:t>
      </w:r>
    </w:p>
    <w:p w14:paraId="0801B34A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Załącznik nr 2 do umowy „Oświadczenie o kwalifikowalności podatku VAT”.</w:t>
      </w:r>
    </w:p>
    <w:p w14:paraId="4447D614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Załącznik nr 3 do umowy „Rodzaje niezgodności w odniesieniu do obowiązków, o których mowa w §11 umowy”.</w:t>
      </w:r>
    </w:p>
    <w:p w14:paraId="12EC9FF3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Formularz wniosku o refundację poniesionych kosztów wraz z załącznikami nr 1 i 2.</w:t>
      </w:r>
    </w:p>
    <w:p w14:paraId="1AC0E939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Załącznik nr 3 do wniosku o refundację poniesionych kosztów „Sprawozdanie końcowe z realizacji operacji/Sprawozdanie z realizacji etapu operacji”.</w:t>
      </w:r>
    </w:p>
    <w:p w14:paraId="75BFEF2B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Załącznik nr 4 do wniosku o refundację poniesionych kosztów „Formularz projektu realizującego priorytety PROW 2014–2020”.</w:t>
      </w:r>
    </w:p>
    <w:p w14:paraId="5F473F0D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Instrukcja wypełnienia wniosku o refundację poniesionych kosztów.</w:t>
      </w:r>
    </w:p>
    <w:p w14:paraId="4B4ACE6F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Plan działania KSOW na lata 2014–2020.</w:t>
      </w:r>
    </w:p>
    <w:p w14:paraId="0FDE43B5" w14:textId="77777777" w:rsidR="00D751B5" w:rsidRPr="001554AC" w:rsidRDefault="00D751B5" w:rsidP="001554AC">
      <w:pPr>
        <w:numPr>
          <w:ilvl w:val="0"/>
          <w:numId w:val="16"/>
        </w:numPr>
        <w:jc w:val="both"/>
      </w:pPr>
      <w:r w:rsidRPr="001554AC">
        <w:t>Podręcznik kwalifikowalności kosztów pomocy technicznej w ramach PROW 2014–2020.</w:t>
      </w:r>
    </w:p>
    <w:p w14:paraId="5CD81FE3" w14:textId="77777777" w:rsidR="003F2385" w:rsidRPr="001554AC" w:rsidRDefault="009C0A9B" w:rsidP="001554AC">
      <w:pPr>
        <w:numPr>
          <w:ilvl w:val="0"/>
          <w:numId w:val="16"/>
        </w:numPr>
        <w:jc w:val="both"/>
      </w:pPr>
      <w:r w:rsidRPr="001554AC">
        <w:t>Formularz umowy konsorcjum.</w:t>
      </w:r>
    </w:p>
    <w:p w14:paraId="6A4C3CF3" w14:textId="77777777" w:rsidR="00923B3B" w:rsidRDefault="00923B3B" w:rsidP="001554AC">
      <w:pPr>
        <w:jc w:val="both"/>
      </w:pPr>
    </w:p>
    <w:sectPr w:rsidR="00923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1C3"/>
    <w:multiLevelType w:val="multilevel"/>
    <w:tmpl w:val="A51244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23797"/>
    <w:multiLevelType w:val="multilevel"/>
    <w:tmpl w:val="91C26BA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13EC7E89"/>
    <w:multiLevelType w:val="multilevel"/>
    <w:tmpl w:val="FE5CCE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4BD571D"/>
    <w:multiLevelType w:val="hybridMultilevel"/>
    <w:tmpl w:val="989E6F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23231"/>
    <w:multiLevelType w:val="multilevel"/>
    <w:tmpl w:val="B6207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55B35"/>
    <w:multiLevelType w:val="multilevel"/>
    <w:tmpl w:val="DDEC4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5C667DB"/>
    <w:multiLevelType w:val="hybridMultilevel"/>
    <w:tmpl w:val="21F288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C35AA"/>
    <w:multiLevelType w:val="multilevel"/>
    <w:tmpl w:val="0BDE80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A1B7C49"/>
    <w:multiLevelType w:val="multilevel"/>
    <w:tmpl w:val="CDE0BB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1857EE"/>
    <w:multiLevelType w:val="multilevel"/>
    <w:tmpl w:val="709A2682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3DC1658C"/>
    <w:multiLevelType w:val="multilevel"/>
    <w:tmpl w:val="319C7C1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3E335C08"/>
    <w:multiLevelType w:val="multilevel"/>
    <w:tmpl w:val="661482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9311F3F"/>
    <w:multiLevelType w:val="multilevel"/>
    <w:tmpl w:val="F500A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A107926"/>
    <w:multiLevelType w:val="multilevel"/>
    <w:tmpl w:val="D97AB712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50DA085A"/>
    <w:multiLevelType w:val="multilevel"/>
    <w:tmpl w:val="94980E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6F4E31"/>
    <w:multiLevelType w:val="multilevel"/>
    <w:tmpl w:val="E9C8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A73279"/>
    <w:multiLevelType w:val="multilevel"/>
    <w:tmpl w:val="456EFC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E05749"/>
    <w:multiLevelType w:val="multilevel"/>
    <w:tmpl w:val="65C6EB5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5"/>
  </w:num>
  <w:num w:numId="5">
    <w:abstractNumId w:val="16"/>
  </w:num>
  <w:num w:numId="6">
    <w:abstractNumId w:val="2"/>
  </w:num>
  <w:num w:numId="7">
    <w:abstractNumId w:val="11"/>
  </w:num>
  <w:num w:numId="8">
    <w:abstractNumId w:val="0"/>
  </w:num>
  <w:num w:numId="9">
    <w:abstractNumId w:val="17"/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B5"/>
    <w:rsid w:val="00067A7B"/>
    <w:rsid w:val="000C558E"/>
    <w:rsid w:val="000D258F"/>
    <w:rsid w:val="00117C76"/>
    <w:rsid w:val="001554AC"/>
    <w:rsid w:val="001C092B"/>
    <w:rsid w:val="001E4F5C"/>
    <w:rsid w:val="002574CF"/>
    <w:rsid w:val="00261B78"/>
    <w:rsid w:val="002D016D"/>
    <w:rsid w:val="002F7B31"/>
    <w:rsid w:val="003F2385"/>
    <w:rsid w:val="0065659C"/>
    <w:rsid w:val="00701F85"/>
    <w:rsid w:val="008B1EA4"/>
    <w:rsid w:val="00900F46"/>
    <w:rsid w:val="00923B3B"/>
    <w:rsid w:val="009C0A9B"/>
    <w:rsid w:val="00A4347F"/>
    <w:rsid w:val="00D16410"/>
    <w:rsid w:val="00D751B5"/>
    <w:rsid w:val="00E633DA"/>
    <w:rsid w:val="00E84875"/>
    <w:rsid w:val="00EA5028"/>
    <w:rsid w:val="00F3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82B0"/>
  <w15:chartTrackingRefBased/>
  <w15:docId w15:val="{9E06ADF0-7F9E-425C-A384-BCA031DB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B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C09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F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F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2189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 Igor</dc:creator>
  <cp:keywords/>
  <dc:description/>
  <cp:lastModifiedBy>Kamiński Igor</cp:lastModifiedBy>
  <cp:revision>3</cp:revision>
  <dcterms:created xsi:type="dcterms:W3CDTF">2022-11-04T10:37:00Z</dcterms:created>
  <dcterms:modified xsi:type="dcterms:W3CDTF">2022-11-04T10:38:00Z</dcterms:modified>
</cp:coreProperties>
</file>