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90" w:rsidRDefault="00B00490" w:rsidP="001F240B">
      <w:pPr>
        <w:jc w:val="center"/>
        <w:rPr>
          <w:u w:val="single"/>
        </w:rPr>
      </w:pPr>
      <w:r>
        <w:rPr>
          <w:u w:val="single"/>
        </w:rPr>
        <w:t>Zamówienia publiczne – najczęściej popełniane</w:t>
      </w:r>
      <w:r w:rsidR="001F240B">
        <w:rPr>
          <w:u w:val="single"/>
        </w:rPr>
        <w:t xml:space="preserve"> przez wykonawców</w:t>
      </w:r>
      <w:r>
        <w:rPr>
          <w:u w:val="single"/>
        </w:rPr>
        <w:t xml:space="preserve"> błędy skutkujące zmniejszeniem kwoty pomocy</w:t>
      </w:r>
      <w:r w:rsidR="001F240B">
        <w:rPr>
          <w:u w:val="single"/>
        </w:rPr>
        <w:t>.</w:t>
      </w:r>
    </w:p>
    <w:p w:rsidR="00577AE3" w:rsidRPr="00B00490" w:rsidRDefault="00577AE3" w:rsidP="00577AE3">
      <w:r w:rsidRPr="00B00490">
        <w:t xml:space="preserve">Aktualnie obowiązujące rozporządzenie: </w:t>
      </w:r>
    </w:p>
    <w:p w:rsidR="00577AE3" w:rsidRPr="00B00490" w:rsidRDefault="00577AE3">
      <w:pPr>
        <w:rPr>
          <w:b/>
          <w:bCs w:val="0"/>
        </w:rPr>
      </w:pPr>
      <w:r w:rsidRPr="00B00490">
        <w:rPr>
          <w:rFonts w:ascii="Helvetica" w:hAnsi="Helvetica" w:cs="Helvetica"/>
          <w:b/>
          <w:bCs w:val="0"/>
          <w:color w:val="000000"/>
        </w:rPr>
        <w:t>Rozporządzenie Ministra Rolnictwa i Rozwoju Wsi z dnia 25 maja 2020 r. w sprawie szczegółowych warunków dokonywania zmniejszeń kwot pomocy oraz pomocy technicznej w przypadku naruszenia przepisów o zamówieniach publicznych</w:t>
      </w:r>
      <w:r w:rsidRPr="00B00490">
        <w:rPr>
          <w:b/>
          <w:bCs w:val="0"/>
        </w:rPr>
        <w:t xml:space="preserve"> (Dz.U. z 2020r. poz. 1028)</w:t>
      </w:r>
      <w:r w:rsidR="000F575B">
        <w:rPr>
          <w:b/>
          <w:bCs w:val="0"/>
        </w:rPr>
        <w:t xml:space="preserve"> z późn. zm</w:t>
      </w:r>
      <w:r w:rsidRPr="00B00490">
        <w:rPr>
          <w:b/>
          <w:bCs w:val="0"/>
        </w:rPr>
        <w:t>.</w:t>
      </w:r>
    </w:p>
    <w:p w:rsidR="001F240B" w:rsidRDefault="00577AE3">
      <w:r>
        <w:t>Najczęstsze naruszenia ustawy prawo zamówień publicznych skutkujące zmniejszen</w:t>
      </w:r>
      <w:r w:rsidR="00B00490">
        <w:t xml:space="preserve">iem </w:t>
      </w:r>
      <w:r>
        <w:t>kwoty pomocy:</w:t>
      </w:r>
    </w:p>
    <w:tbl>
      <w:tblPr>
        <w:tblStyle w:val="Tabela-Siatka"/>
        <w:tblW w:w="0" w:type="auto"/>
        <w:tblLook w:val="04A0"/>
      </w:tblPr>
      <w:tblGrid>
        <w:gridCol w:w="579"/>
        <w:gridCol w:w="3965"/>
        <w:gridCol w:w="1700"/>
        <w:gridCol w:w="2830"/>
      </w:tblGrid>
      <w:tr w:rsidR="00577AE3" w:rsidTr="002511BB">
        <w:tc>
          <w:tcPr>
            <w:tcW w:w="579" w:type="dxa"/>
          </w:tcPr>
          <w:p w:rsidR="00577AE3" w:rsidRDefault="00577AE3">
            <w:r>
              <w:t>l.p.</w:t>
            </w:r>
          </w:p>
        </w:tc>
        <w:tc>
          <w:tcPr>
            <w:tcW w:w="3965" w:type="dxa"/>
          </w:tcPr>
          <w:p w:rsidR="00577AE3" w:rsidRDefault="00577AE3">
            <w:r>
              <w:t>Przykładowe naruszenie</w:t>
            </w:r>
          </w:p>
        </w:tc>
        <w:tc>
          <w:tcPr>
            <w:tcW w:w="1700" w:type="dxa"/>
          </w:tcPr>
          <w:p w:rsidR="00577AE3" w:rsidRDefault="00577AE3">
            <w:r>
              <w:t>Naruszony artykuł ustawy</w:t>
            </w:r>
          </w:p>
        </w:tc>
        <w:tc>
          <w:tcPr>
            <w:tcW w:w="2830" w:type="dxa"/>
          </w:tcPr>
          <w:p w:rsidR="00577AE3" w:rsidRDefault="00577AE3">
            <w:r>
              <w:t>Pozycja tabeli kar i procentowe zmniejszenie</w:t>
            </w:r>
          </w:p>
        </w:tc>
      </w:tr>
      <w:tr w:rsidR="00EF14DA" w:rsidRPr="00EF14DA" w:rsidTr="002511BB">
        <w:tc>
          <w:tcPr>
            <w:tcW w:w="579" w:type="dxa"/>
          </w:tcPr>
          <w:p w:rsidR="004A6BC1" w:rsidRPr="00EF14DA" w:rsidRDefault="00107077" w:rsidP="004A6BC1">
            <w:r w:rsidRPr="00EF14DA">
              <w:t>1</w:t>
            </w:r>
            <w:r w:rsidR="004A6BC1" w:rsidRPr="00EF14DA">
              <w:t>.</w:t>
            </w:r>
          </w:p>
        </w:tc>
        <w:tc>
          <w:tcPr>
            <w:tcW w:w="3965" w:type="dxa"/>
          </w:tcPr>
          <w:p w:rsidR="004A6BC1" w:rsidRPr="00EF14DA" w:rsidRDefault="004A6BC1" w:rsidP="004455BA">
            <w:pPr>
              <w:pStyle w:val="Nagwek2"/>
              <w:shd w:val="clear" w:color="auto" w:fill="FFFFFF"/>
              <w:spacing w:beforeAutospacing="0" w:after="120" w:afterAutospacing="0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F14D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Żądanie dokumentu</w:t>
            </w:r>
            <w:r w:rsidR="002511BB" w:rsidRPr="00EF14D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zbędnego, nadmiernego, którego żądanie jest bezpodstawne, np. wymag</w:t>
            </w:r>
            <w:r w:rsidR="004455BA" w:rsidRPr="00EF14D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anie przedstawienia odpisu lub informacji z KRS lub CEiDG bez wykazania warunku wykluczenia z art. 109 ust. 4 zarówno w SWZ, jaki i ogłoszeniu. </w:t>
            </w:r>
          </w:p>
        </w:tc>
        <w:tc>
          <w:tcPr>
            <w:tcW w:w="1700" w:type="dxa"/>
          </w:tcPr>
          <w:p w:rsidR="004A6BC1" w:rsidRPr="00EF14DA" w:rsidRDefault="004A6BC1" w:rsidP="00B506C9">
            <w:r w:rsidRPr="00EF14DA">
              <w:t xml:space="preserve">art. </w:t>
            </w:r>
            <w:r w:rsidR="00B506C9" w:rsidRPr="00EF14DA">
              <w:t>273</w:t>
            </w:r>
          </w:p>
        </w:tc>
        <w:tc>
          <w:tcPr>
            <w:tcW w:w="2830" w:type="dxa"/>
          </w:tcPr>
          <w:p w:rsidR="004A6BC1" w:rsidRPr="00EF14DA" w:rsidRDefault="004A6BC1" w:rsidP="001F240B">
            <w:pPr>
              <w:jc w:val="both"/>
            </w:pPr>
            <w:r w:rsidRPr="00EF14DA">
              <w:t>poz. 17 - nieprawidłowości w zakresie oświadczeń i dokumentów wymaganych od wykonawców</w:t>
            </w:r>
          </w:p>
          <w:p w:rsidR="004A6BC1" w:rsidRPr="00EF14DA" w:rsidRDefault="004A6BC1" w:rsidP="001F240B">
            <w:pPr>
              <w:jc w:val="both"/>
            </w:pPr>
            <w:r w:rsidRPr="00EF14DA">
              <w:t>5%</w:t>
            </w:r>
          </w:p>
        </w:tc>
      </w:tr>
      <w:tr w:rsidR="00EF14DA" w:rsidRPr="00EF14DA" w:rsidTr="002511BB">
        <w:tc>
          <w:tcPr>
            <w:tcW w:w="579" w:type="dxa"/>
          </w:tcPr>
          <w:p w:rsidR="004A6BC1" w:rsidRPr="00EF14DA" w:rsidRDefault="00107077" w:rsidP="004A6BC1">
            <w:r w:rsidRPr="00EF14DA">
              <w:t>2</w:t>
            </w:r>
            <w:r w:rsidR="004A6BC1" w:rsidRPr="00EF14DA">
              <w:t>.</w:t>
            </w:r>
          </w:p>
        </w:tc>
        <w:tc>
          <w:tcPr>
            <w:tcW w:w="3965" w:type="dxa"/>
          </w:tcPr>
          <w:p w:rsidR="004A6BC1" w:rsidRPr="00EF14DA" w:rsidRDefault="004A6BC1" w:rsidP="004A6BC1">
            <w:pPr>
              <w:pStyle w:val="Nagwek2"/>
              <w:shd w:val="clear" w:color="auto" w:fill="FFFFFF"/>
              <w:spacing w:beforeAutospacing="0" w:after="120" w:afterAutospacing="0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F14D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Niezamieszczenie SWIZ na stronie internetowej Zamawiającego od dnia zamieszczenia ogłoszenia o zamówieniu w BZP.</w:t>
            </w:r>
          </w:p>
        </w:tc>
        <w:tc>
          <w:tcPr>
            <w:tcW w:w="1700" w:type="dxa"/>
          </w:tcPr>
          <w:p w:rsidR="004A6BC1" w:rsidRPr="00EF14DA" w:rsidRDefault="004A6BC1" w:rsidP="002511BB">
            <w:r w:rsidRPr="00EF14DA">
              <w:t xml:space="preserve">art. </w:t>
            </w:r>
            <w:r w:rsidR="002511BB" w:rsidRPr="00EF14DA">
              <w:t>133</w:t>
            </w:r>
            <w:r w:rsidRPr="00EF14DA">
              <w:t xml:space="preserve"> </w:t>
            </w:r>
          </w:p>
        </w:tc>
        <w:tc>
          <w:tcPr>
            <w:tcW w:w="2830" w:type="dxa"/>
          </w:tcPr>
          <w:p w:rsidR="004A6BC1" w:rsidRPr="00EF14DA" w:rsidRDefault="004A6BC1" w:rsidP="001F240B">
            <w:pPr>
              <w:jc w:val="both"/>
            </w:pPr>
            <w:r w:rsidRPr="00EF14DA">
              <w:t>poz. 16 - niedopełnienie obowiązków związanych z udostępnianiem SIWZ</w:t>
            </w:r>
            <w:r w:rsidR="002511BB" w:rsidRPr="00EF14DA">
              <w:t xml:space="preserve"> lub opisu potrzeb i wymagań</w:t>
            </w:r>
            <w:r w:rsidRPr="00EF14DA">
              <w:t>.</w:t>
            </w:r>
          </w:p>
          <w:p w:rsidR="004A6BC1" w:rsidRPr="00EF14DA" w:rsidRDefault="004A6BC1" w:rsidP="001F240B">
            <w:pPr>
              <w:jc w:val="both"/>
            </w:pPr>
            <w:r w:rsidRPr="00EF14DA">
              <w:t>5%, 10% lub 25%</w:t>
            </w:r>
          </w:p>
        </w:tc>
      </w:tr>
      <w:tr w:rsidR="00EF14DA" w:rsidRPr="00EF14DA" w:rsidTr="002511BB">
        <w:tc>
          <w:tcPr>
            <w:tcW w:w="579" w:type="dxa"/>
          </w:tcPr>
          <w:p w:rsidR="004A6BC1" w:rsidRPr="00EF14DA" w:rsidRDefault="00107077" w:rsidP="004A6BC1">
            <w:r w:rsidRPr="00EF14DA">
              <w:t>3</w:t>
            </w:r>
            <w:r w:rsidR="004A6BC1" w:rsidRPr="00EF14DA">
              <w:t>.</w:t>
            </w:r>
          </w:p>
        </w:tc>
        <w:tc>
          <w:tcPr>
            <w:tcW w:w="3965" w:type="dxa"/>
          </w:tcPr>
          <w:p w:rsidR="004A6BC1" w:rsidRPr="00EF14DA" w:rsidRDefault="004A6BC1" w:rsidP="004A6BC1">
            <w:pPr>
              <w:jc w:val="both"/>
            </w:pPr>
            <w:r w:rsidRPr="00EF14DA">
              <w:t xml:space="preserve">Wskazanie w załącznikach do SIWZ - przedmiarze pomocniczym, opisie technicznym – nazw własnych produktów / wskazanie na konkretnego producenta – bez podania parametrów równoważności. </w:t>
            </w:r>
          </w:p>
        </w:tc>
        <w:tc>
          <w:tcPr>
            <w:tcW w:w="1700" w:type="dxa"/>
          </w:tcPr>
          <w:p w:rsidR="004A6BC1" w:rsidRPr="00EF14DA" w:rsidRDefault="004A6BC1" w:rsidP="00B506C9">
            <w:r w:rsidRPr="00EF14DA">
              <w:t xml:space="preserve">art. </w:t>
            </w:r>
            <w:r w:rsidR="00B506C9" w:rsidRPr="00EF14DA">
              <w:t>99 ust. 4</w:t>
            </w:r>
          </w:p>
        </w:tc>
        <w:tc>
          <w:tcPr>
            <w:tcW w:w="2830" w:type="dxa"/>
          </w:tcPr>
          <w:p w:rsidR="004A6BC1" w:rsidRPr="00EF14DA" w:rsidRDefault="004A6BC1" w:rsidP="001F240B">
            <w:pPr>
              <w:jc w:val="both"/>
            </w:pPr>
            <w:r w:rsidRPr="00EF14DA">
              <w:t>poz. 19 - dyskryminacyjny opis przedmiotu zamówienia.</w:t>
            </w:r>
          </w:p>
          <w:p w:rsidR="004A6BC1" w:rsidRPr="00EF14DA" w:rsidRDefault="004A6BC1" w:rsidP="001F240B">
            <w:pPr>
              <w:jc w:val="both"/>
            </w:pPr>
            <w:r w:rsidRPr="00EF14DA">
              <w:t>10% lub 25%</w:t>
            </w:r>
          </w:p>
        </w:tc>
      </w:tr>
      <w:tr w:rsidR="00EF14DA" w:rsidRPr="00EF14DA" w:rsidTr="002511BB">
        <w:trPr>
          <w:trHeight w:val="1257"/>
        </w:trPr>
        <w:tc>
          <w:tcPr>
            <w:tcW w:w="579" w:type="dxa"/>
          </w:tcPr>
          <w:p w:rsidR="004A6BC1" w:rsidRPr="00EF14DA" w:rsidRDefault="00107077" w:rsidP="004A6BC1">
            <w:r w:rsidRPr="00EF14DA">
              <w:t>4</w:t>
            </w:r>
            <w:r w:rsidR="004A6BC1" w:rsidRPr="00EF14DA">
              <w:t>.</w:t>
            </w:r>
          </w:p>
        </w:tc>
        <w:tc>
          <w:tcPr>
            <w:tcW w:w="3965" w:type="dxa"/>
          </w:tcPr>
          <w:p w:rsidR="004A6BC1" w:rsidRPr="00EF14DA" w:rsidRDefault="004A6BC1" w:rsidP="004A6BC1">
            <w:pPr>
              <w:jc w:val="both"/>
            </w:pPr>
            <w:r w:rsidRPr="00EF14DA">
              <w:t>Wybór oferty podlegającej odrzuceniu – wadium dla wybranej oferty wpłynęło po upływie terminu składania ofert.</w:t>
            </w:r>
          </w:p>
        </w:tc>
        <w:tc>
          <w:tcPr>
            <w:tcW w:w="1700" w:type="dxa"/>
          </w:tcPr>
          <w:p w:rsidR="004A6BC1" w:rsidRPr="00EF14DA" w:rsidRDefault="004A6BC1" w:rsidP="00DE4A8C">
            <w:r w:rsidRPr="00EF14DA">
              <w:t xml:space="preserve">art. </w:t>
            </w:r>
            <w:r w:rsidR="00DE4A8C" w:rsidRPr="00EF14DA">
              <w:t>226</w:t>
            </w:r>
          </w:p>
        </w:tc>
        <w:tc>
          <w:tcPr>
            <w:tcW w:w="2830" w:type="dxa"/>
          </w:tcPr>
          <w:p w:rsidR="004A6BC1" w:rsidRPr="00EF14DA" w:rsidRDefault="004A6BC1" w:rsidP="001F240B">
            <w:pPr>
              <w:jc w:val="both"/>
            </w:pPr>
            <w:r w:rsidRPr="00EF14DA">
              <w:t>poz. 26 - naruszenia w zakresie wyboru najkorzystniejszej oferty</w:t>
            </w:r>
          </w:p>
          <w:p w:rsidR="004A6BC1" w:rsidRPr="00EF14DA" w:rsidRDefault="004A6BC1" w:rsidP="001F240B">
            <w:pPr>
              <w:jc w:val="both"/>
            </w:pPr>
            <w:r w:rsidRPr="00EF14DA">
              <w:t>25%</w:t>
            </w:r>
          </w:p>
        </w:tc>
      </w:tr>
      <w:tr w:rsidR="00EF14DA" w:rsidRPr="00EF14DA" w:rsidTr="002511BB">
        <w:tc>
          <w:tcPr>
            <w:tcW w:w="579" w:type="dxa"/>
          </w:tcPr>
          <w:p w:rsidR="004A6BC1" w:rsidRPr="00EF14DA" w:rsidRDefault="00107077" w:rsidP="004A6BC1">
            <w:r w:rsidRPr="00EF14DA">
              <w:t>5</w:t>
            </w:r>
            <w:r w:rsidR="004A6BC1" w:rsidRPr="00EF14DA">
              <w:t>.</w:t>
            </w:r>
          </w:p>
        </w:tc>
        <w:tc>
          <w:tcPr>
            <w:tcW w:w="3965" w:type="dxa"/>
          </w:tcPr>
          <w:p w:rsidR="004A6BC1" w:rsidRPr="00EF14DA" w:rsidRDefault="004A6BC1" w:rsidP="004A6BC1">
            <w:pPr>
              <w:jc w:val="both"/>
            </w:pPr>
            <w:r w:rsidRPr="00EF14DA">
              <w:t xml:space="preserve">Zamawiający wymagał, aby wykonawca do realizacji zamówienia skierował osobę z uprawnieniami do kierowania robotami budowlanymi bez ograniczeń. Z przedstawionego wykazu osób nie wynikało, że wskazania osoba posiada wymagane uprawnienia. Zamawiający wybrał ofertę wykonawcy nie wzywając go uprzednio do wyjaśnień w kwestii osób skierowanych do realizacji </w:t>
            </w:r>
            <w:r w:rsidRPr="00EF14DA">
              <w:lastRenderedPageBreak/>
              <w:t>zamówienia.</w:t>
            </w:r>
          </w:p>
        </w:tc>
        <w:tc>
          <w:tcPr>
            <w:tcW w:w="1700" w:type="dxa"/>
          </w:tcPr>
          <w:p w:rsidR="004A6BC1" w:rsidRPr="00EF14DA" w:rsidRDefault="00EF14DA" w:rsidP="004A6BC1">
            <w:r w:rsidRPr="00EF14DA">
              <w:lastRenderedPageBreak/>
              <w:t>a</w:t>
            </w:r>
            <w:r w:rsidR="00DE4A8C" w:rsidRPr="00EF14DA">
              <w:t>rt. 226</w:t>
            </w:r>
          </w:p>
        </w:tc>
        <w:tc>
          <w:tcPr>
            <w:tcW w:w="2830" w:type="dxa"/>
          </w:tcPr>
          <w:p w:rsidR="004A6BC1" w:rsidRPr="00EF14DA" w:rsidRDefault="004A6BC1" w:rsidP="001F240B">
            <w:pPr>
              <w:jc w:val="both"/>
            </w:pPr>
            <w:r w:rsidRPr="00EF14DA">
              <w:t>poz. 26 - naruszenia w zakresie wyboru najkorzystniejszej oferty.</w:t>
            </w:r>
          </w:p>
          <w:p w:rsidR="004A6BC1" w:rsidRPr="00EF14DA" w:rsidRDefault="004A6BC1" w:rsidP="001F240B">
            <w:pPr>
              <w:jc w:val="both"/>
            </w:pPr>
            <w:r w:rsidRPr="00EF14DA">
              <w:t>25%</w:t>
            </w:r>
          </w:p>
        </w:tc>
      </w:tr>
      <w:tr w:rsidR="00EF14DA" w:rsidRPr="00EF14DA" w:rsidTr="002511BB">
        <w:tc>
          <w:tcPr>
            <w:tcW w:w="579" w:type="dxa"/>
          </w:tcPr>
          <w:p w:rsidR="004A6BC1" w:rsidRPr="00EF14DA" w:rsidRDefault="00107077" w:rsidP="004A6BC1">
            <w:r w:rsidRPr="00EF14DA">
              <w:lastRenderedPageBreak/>
              <w:t>6</w:t>
            </w:r>
            <w:r w:rsidR="004A6BC1" w:rsidRPr="00EF14DA">
              <w:t>.</w:t>
            </w:r>
          </w:p>
        </w:tc>
        <w:tc>
          <w:tcPr>
            <w:tcW w:w="3965" w:type="dxa"/>
          </w:tcPr>
          <w:p w:rsidR="004A6BC1" w:rsidRPr="00EF14DA" w:rsidRDefault="004A6BC1" w:rsidP="004A6BC1">
            <w:pPr>
              <w:jc w:val="both"/>
            </w:pPr>
            <w:r w:rsidRPr="00EF14DA">
              <w:t xml:space="preserve">Zamieszczenie informacji o wyborze wykonawcy wyłącznie na stronie internetowej Zamawiającego – bez wysłania informacji do wszystkich wykonawców biorących udział w postępowaniu. </w:t>
            </w:r>
          </w:p>
        </w:tc>
        <w:tc>
          <w:tcPr>
            <w:tcW w:w="1700" w:type="dxa"/>
          </w:tcPr>
          <w:p w:rsidR="004A6BC1" w:rsidRPr="00EF14DA" w:rsidRDefault="004A6BC1" w:rsidP="00517E7F">
            <w:r w:rsidRPr="00EF14DA">
              <w:t xml:space="preserve">art. </w:t>
            </w:r>
            <w:r w:rsidR="00517E7F" w:rsidRPr="00EF14DA">
              <w:t>253</w:t>
            </w:r>
            <w:r w:rsidRPr="00EF14DA">
              <w:t xml:space="preserve"> ust. 1 </w:t>
            </w:r>
            <w:r w:rsidR="00517E7F" w:rsidRPr="00EF14DA">
              <w:t>pkt 1</w:t>
            </w:r>
          </w:p>
        </w:tc>
        <w:tc>
          <w:tcPr>
            <w:tcW w:w="2830" w:type="dxa"/>
          </w:tcPr>
          <w:p w:rsidR="004A6BC1" w:rsidRPr="00EF14DA" w:rsidRDefault="004A6BC1" w:rsidP="001F240B">
            <w:pPr>
              <w:jc w:val="both"/>
            </w:pPr>
            <w:r w:rsidRPr="00EF14DA">
              <w:t>poz. 30 - brak przekazania informacji o wyborze najkorzystniejszej oferty.</w:t>
            </w:r>
          </w:p>
          <w:p w:rsidR="004A6BC1" w:rsidRPr="00EF14DA" w:rsidRDefault="004A6BC1" w:rsidP="001F240B">
            <w:pPr>
              <w:jc w:val="both"/>
            </w:pPr>
            <w:r w:rsidRPr="00EF14DA">
              <w:t>5%</w:t>
            </w:r>
          </w:p>
        </w:tc>
      </w:tr>
      <w:tr w:rsidR="00EF14DA" w:rsidRPr="00EF14DA" w:rsidTr="002511BB">
        <w:tc>
          <w:tcPr>
            <w:tcW w:w="579" w:type="dxa"/>
          </w:tcPr>
          <w:p w:rsidR="004A6BC1" w:rsidRPr="00EF14DA" w:rsidRDefault="00107077" w:rsidP="004A6BC1">
            <w:r w:rsidRPr="00EF14DA">
              <w:t>7</w:t>
            </w:r>
            <w:r w:rsidR="004A6BC1" w:rsidRPr="00EF14DA">
              <w:t>.</w:t>
            </w:r>
          </w:p>
        </w:tc>
        <w:tc>
          <w:tcPr>
            <w:tcW w:w="3965" w:type="dxa"/>
          </w:tcPr>
          <w:p w:rsidR="004A6BC1" w:rsidRPr="00EF14DA" w:rsidRDefault="004A6BC1" w:rsidP="00517E7F">
            <w:pPr>
              <w:jc w:val="both"/>
            </w:pPr>
            <w:r w:rsidRPr="00EF14DA">
              <w:t>Zawarcie aneksu do umowy, bez wystąpien</w:t>
            </w:r>
            <w:r w:rsidR="00517E7F" w:rsidRPr="00EF14DA">
              <w:t>ia przesłanek do jego zawarcia.</w:t>
            </w:r>
          </w:p>
        </w:tc>
        <w:tc>
          <w:tcPr>
            <w:tcW w:w="1700" w:type="dxa"/>
          </w:tcPr>
          <w:p w:rsidR="004A6BC1" w:rsidRPr="00EF14DA" w:rsidRDefault="004A6BC1" w:rsidP="00517E7F">
            <w:r w:rsidRPr="00EF14DA">
              <w:t xml:space="preserve">art. </w:t>
            </w:r>
            <w:r w:rsidR="00517E7F" w:rsidRPr="00EF14DA">
              <w:t>455</w:t>
            </w:r>
            <w:r w:rsidRPr="00EF14DA">
              <w:t xml:space="preserve"> </w:t>
            </w:r>
          </w:p>
        </w:tc>
        <w:tc>
          <w:tcPr>
            <w:tcW w:w="2830" w:type="dxa"/>
          </w:tcPr>
          <w:p w:rsidR="004A6BC1" w:rsidRPr="00EF14DA" w:rsidRDefault="004A6BC1" w:rsidP="001F240B">
            <w:pPr>
              <w:jc w:val="both"/>
            </w:pPr>
            <w:r w:rsidRPr="00EF14DA">
              <w:t>poz. 31 - niedozwolona zmiana postanowień zawartej umowy.</w:t>
            </w:r>
          </w:p>
          <w:p w:rsidR="004A6BC1" w:rsidRPr="00EF14DA" w:rsidRDefault="004A6BC1" w:rsidP="001F240B">
            <w:pPr>
              <w:jc w:val="both"/>
            </w:pPr>
            <w:r w:rsidRPr="00EF14DA">
              <w:t>25% wartości pierwotnej umowy oraz, w przypadku zwiększenia wartości pierwotnej umowy, 100% wartości tego zwiększenia.</w:t>
            </w:r>
          </w:p>
        </w:tc>
      </w:tr>
    </w:tbl>
    <w:p w:rsidR="00577AE3" w:rsidRDefault="00577AE3">
      <w:bookmarkStart w:id="0" w:name="_GoBack"/>
      <w:bookmarkEnd w:id="0"/>
    </w:p>
    <w:sectPr w:rsidR="00577AE3" w:rsidSect="000F4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/>
  <w:rsids>
    <w:rsidRoot w:val="00577AE3"/>
    <w:rsid w:val="00011ADB"/>
    <w:rsid w:val="000E3FB4"/>
    <w:rsid w:val="000F4B1F"/>
    <w:rsid w:val="000F575B"/>
    <w:rsid w:val="00107077"/>
    <w:rsid w:val="001F240B"/>
    <w:rsid w:val="002511BB"/>
    <w:rsid w:val="002C4C8C"/>
    <w:rsid w:val="00383940"/>
    <w:rsid w:val="004455BA"/>
    <w:rsid w:val="004A6BC1"/>
    <w:rsid w:val="00517E7F"/>
    <w:rsid w:val="005671F8"/>
    <w:rsid w:val="00577AE3"/>
    <w:rsid w:val="0067549D"/>
    <w:rsid w:val="007E3A56"/>
    <w:rsid w:val="00925FFB"/>
    <w:rsid w:val="009868F4"/>
    <w:rsid w:val="009A7877"/>
    <w:rsid w:val="00AB48AA"/>
    <w:rsid w:val="00B00490"/>
    <w:rsid w:val="00B506C9"/>
    <w:rsid w:val="00DE4A8C"/>
    <w:rsid w:val="00EF14DA"/>
    <w:rsid w:val="00F464F0"/>
    <w:rsid w:val="00F5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  <w:ind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B1F"/>
  </w:style>
  <w:style w:type="paragraph" w:styleId="Nagwek2">
    <w:name w:val="heading 2"/>
    <w:basedOn w:val="Normalny"/>
    <w:link w:val="Nagwek2Znak"/>
    <w:uiPriority w:val="9"/>
    <w:qFormat/>
    <w:rsid w:val="00577AE3"/>
    <w:pPr>
      <w:spacing w:line="240" w:lineRule="auto"/>
      <w:ind w:right="0"/>
      <w:outlineLvl w:val="1"/>
    </w:pPr>
    <w:rPr>
      <w:rFonts w:ascii="Times New Roman" w:eastAsia="Times New Roman" w:hAnsi="Times New Roman" w:cs="Times New Roman"/>
      <w:b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7AE3"/>
    <w:rPr>
      <w:rFonts w:ascii="Times New Roman" w:eastAsia="Times New Roman" w:hAnsi="Times New Roman" w:cs="Times New Roman"/>
      <w:b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577AE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22"/>
        <w:szCs w:val="22"/>
        <w:lang w:val="pl-PL" w:eastAsia="en-US" w:bidi="ar-SA"/>
        <w14:numSpacing w14:val="proportional"/>
      </w:rPr>
    </w:rPrDefault>
    <w:pPrDefault>
      <w:pPr>
        <w:spacing w:before="100" w:beforeAutospacing="1" w:after="100" w:afterAutospacing="1" w:line="276" w:lineRule="auto"/>
        <w:ind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77AE3"/>
    <w:pPr>
      <w:spacing w:line="240" w:lineRule="auto"/>
      <w:ind w:right="0"/>
      <w:outlineLvl w:val="1"/>
    </w:pPr>
    <w:rPr>
      <w:rFonts w:ascii="Times New Roman" w:eastAsia="Times New Roman" w:hAnsi="Times New Roman" w:cs="Times New Roman"/>
      <w:b/>
      <w:sz w:val="36"/>
      <w:szCs w:val="36"/>
      <w:lang w:eastAsia="pl-PL"/>
      <w14:numSpacing w14:val="defau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7AE3"/>
    <w:rPr>
      <w:rFonts w:ascii="Times New Roman" w:eastAsia="Times New Roman" w:hAnsi="Times New Roman" w:cs="Times New Roman"/>
      <w:b/>
      <w:sz w:val="36"/>
      <w:szCs w:val="36"/>
      <w:lang w:eastAsia="pl-PL"/>
      <w14:numSpacing w14:val="default"/>
    </w:rPr>
  </w:style>
  <w:style w:type="table" w:styleId="Tabela-Siatka">
    <w:name w:val="Table Grid"/>
    <w:basedOn w:val="Standardowy"/>
    <w:uiPriority w:val="39"/>
    <w:rsid w:val="00577AE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awoloszczuk</dc:creator>
  <cp:lastModifiedBy>sciesielski</cp:lastModifiedBy>
  <cp:revision>2</cp:revision>
  <dcterms:created xsi:type="dcterms:W3CDTF">2021-10-12T08:25:00Z</dcterms:created>
  <dcterms:modified xsi:type="dcterms:W3CDTF">2021-10-12T08:25:00Z</dcterms:modified>
</cp:coreProperties>
</file>